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4A" w:rsidRPr="005F4E7E" w:rsidRDefault="0043266F" w:rsidP="00967C4A">
      <w:pPr>
        <w:pStyle w:val="berschrift1"/>
        <w:rPr>
          <w:sz w:val="28"/>
          <w:szCs w:val="28"/>
        </w:rPr>
      </w:pPr>
      <w:bookmarkStart w:id="0" w:name="_GoBack"/>
      <w:bookmarkEnd w:id="0"/>
      <w:r w:rsidRPr="005F4E7E">
        <w:rPr>
          <w:sz w:val="28"/>
          <w:szCs w:val="28"/>
        </w:rPr>
        <w:t xml:space="preserve">Vorgaben und Hilfen zur </w:t>
      </w:r>
      <w:r w:rsidR="00F37CE4" w:rsidRPr="005F4E7E">
        <w:rPr>
          <w:sz w:val="28"/>
          <w:szCs w:val="28"/>
        </w:rPr>
        <w:t>Verfahrensanweisung</w:t>
      </w:r>
      <w:r w:rsidR="00967C4A" w:rsidRPr="005F4E7E">
        <w:rPr>
          <w:sz w:val="28"/>
          <w:szCs w:val="28"/>
        </w:rPr>
        <w:t xml:space="preserve"> </w:t>
      </w:r>
      <w:r w:rsidR="00F03460" w:rsidRPr="005F4E7E">
        <w:rPr>
          <w:sz w:val="28"/>
          <w:szCs w:val="28"/>
        </w:rPr>
        <w:t>„Prävention von Harnwegsinfektionen</w:t>
      </w:r>
      <w:r w:rsidRPr="005F4E7E">
        <w:rPr>
          <w:sz w:val="28"/>
          <w:szCs w:val="28"/>
        </w:rPr>
        <w:t>“</w:t>
      </w:r>
    </w:p>
    <w:p w:rsidR="000D63DD" w:rsidRPr="005F4E7E" w:rsidRDefault="000D63DD" w:rsidP="00967C4A">
      <w:pPr>
        <w:rPr>
          <w:rFonts w:ascii="Arial" w:hAnsi="Arial" w:cs="Arial"/>
        </w:rPr>
      </w:pPr>
    </w:p>
    <w:p w:rsidR="00967C4A" w:rsidRPr="005F4E7E" w:rsidRDefault="000D63DD" w:rsidP="00967C4A">
      <w:pPr>
        <w:rPr>
          <w:rFonts w:ascii="Arial" w:hAnsi="Arial" w:cs="Arial"/>
        </w:rPr>
      </w:pPr>
      <w:r w:rsidRPr="005F4E7E">
        <w:rPr>
          <w:rFonts w:ascii="Arial" w:hAnsi="Arial" w:cs="Arial"/>
        </w:rPr>
        <w:t>I</w:t>
      </w:r>
      <w:r w:rsidR="00F03460" w:rsidRPr="005F4E7E">
        <w:rPr>
          <w:rFonts w:ascii="Arial" w:hAnsi="Arial" w:cs="Arial"/>
        </w:rPr>
        <w:t xml:space="preserve">nnerhalb der </w:t>
      </w:r>
      <w:r w:rsidR="00FC2725">
        <w:rPr>
          <w:rFonts w:ascii="Arial" w:hAnsi="Arial" w:cs="Arial"/>
        </w:rPr>
        <w:t>Verfahrensanweisung</w:t>
      </w:r>
      <w:r w:rsidR="00F03460" w:rsidRPr="005F4E7E">
        <w:rPr>
          <w:rFonts w:ascii="Arial" w:hAnsi="Arial" w:cs="Arial"/>
        </w:rPr>
        <w:t xml:space="preserve"> „Prävention von Harnwegsinfektionen</w:t>
      </w:r>
      <w:r w:rsidRPr="005F4E7E">
        <w:rPr>
          <w:rFonts w:ascii="Arial" w:hAnsi="Arial" w:cs="Arial"/>
        </w:rPr>
        <w:t>“ sollen betriebsinterne Vorgaben zu</w:t>
      </w:r>
      <w:r w:rsidR="00F03460" w:rsidRPr="005F4E7E">
        <w:rPr>
          <w:rFonts w:ascii="Arial" w:hAnsi="Arial" w:cs="Arial"/>
        </w:rPr>
        <w:t xml:space="preserve">r Verhütung von Harnwegsinfektionen im Zusammenhang mit Harndrainagen </w:t>
      </w:r>
      <w:r w:rsidRPr="005F4E7E">
        <w:rPr>
          <w:rFonts w:ascii="Arial" w:hAnsi="Arial" w:cs="Arial"/>
        </w:rPr>
        <w:t xml:space="preserve">festgelegt werden, wobei </w:t>
      </w:r>
      <w:r w:rsidR="00985AC2" w:rsidRPr="005F4E7E">
        <w:rPr>
          <w:rFonts w:ascii="Arial" w:hAnsi="Arial" w:cs="Arial"/>
        </w:rPr>
        <w:t xml:space="preserve">das Einlegen und Wechseln transurethraler Katheter, der Umgang mit transurethralen und suprapubischen Harndrainagen </w:t>
      </w:r>
      <w:r w:rsidRPr="005F4E7E">
        <w:rPr>
          <w:rFonts w:ascii="Arial" w:hAnsi="Arial" w:cs="Arial"/>
        </w:rPr>
        <w:t xml:space="preserve">und </w:t>
      </w:r>
      <w:r w:rsidR="00985AC2" w:rsidRPr="005F4E7E">
        <w:rPr>
          <w:rFonts w:ascii="Arial" w:hAnsi="Arial" w:cs="Arial"/>
        </w:rPr>
        <w:t xml:space="preserve">die Auswahl und Handhabung von Harnableitungssystemen </w:t>
      </w:r>
      <w:r w:rsidRPr="005F4E7E">
        <w:rPr>
          <w:rFonts w:ascii="Arial" w:hAnsi="Arial" w:cs="Arial"/>
        </w:rPr>
        <w:t>im Vordergrund stehen soll</w:t>
      </w:r>
      <w:r w:rsidR="007F3A28">
        <w:rPr>
          <w:rFonts w:ascii="Arial" w:hAnsi="Arial" w:cs="Arial"/>
        </w:rPr>
        <w:t>en</w:t>
      </w:r>
      <w:r w:rsidRPr="005F4E7E">
        <w:rPr>
          <w:rFonts w:ascii="Arial" w:hAnsi="Arial" w:cs="Arial"/>
        </w:rPr>
        <w:t>.</w:t>
      </w:r>
    </w:p>
    <w:p w:rsidR="000D63DD" w:rsidRPr="005F4E7E" w:rsidRDefault="000D63DD" w:rsidP="00967C4A">
      <w:pPr>
        <w:rPr>
          <w:rFonts w:ascii="Arial" w:hAnsi="Arial" w:cs="Arial"/>
        </w:rPr>
      </w:pPr>
    </w:p>
    <w:p w:rsidR="00985AC2" w:rsidRPr="005F4E7E" w:rsidRDefault="00985AC2" w:rsidP="00967C4A">
      <w:pPr>
        <w:rPr>
          <w:rFonts w:ascii="Arial" w:hAnsi="Arial" w:cs="Arial"/>
        </w:rPr>
      </w:pPr>
      <w:r w:rsidRPr="005F4E7E">
        <w:rPr>
          <w:rFonts w:ascii="Arial" w:hAnsi="Arial" w:cs="Arial"/>
        </w:rPr>
        <w:t xml:space="preserve">In Einrichtungen des Gesundheitswesens zählen Harnwegsinfektionen zu den häufigsten nosokomialen Infektionen, wobei ein direkter Zusammenhang mit der Verwendung von Harndrainagen erkennbar ist. </w:t>
      </w:r>
    </w:p>
    <w:p w:rsidR="00B13F89" w:rsidRPr="005F4E7E" w:rsidRDefault="00B13F89" w:rsidP="00F52060">
      <w:pPr>
        <w:rPr>
          <w:rFonts w:ascii="Arial" w:eastAsia="MinionPro-Regular" w:hAnsi="Arial" w:cs="Arial"/>
        </w:rPr>
      </w:pPr>
    </w:p>
    <w:p w:rsidR="00985AC2" w:rsidRPr="005F4E7E" w:rsidRDefault="00985AC2" w:rsidP="00F52060">
      <w:pPr>
        <w:rPr>
          <w:rFonts w:ascii="Arial" w:eastAsia="MinionPro-Regular" w:hAnsi="Arial" w:cs="Arial"/>
        </w:rPr>
      </w:pPr>
      <w:r w:rsidRPr="005F4E7E">
        <w:rPr>
          <w:rFonts w:ascii="Arial" w:eastAsia="MinionPro-Regular" w:hAnsi="Arial" w:cs="Arial"/>
        </w:rPr>
        <w:t>Der Umgang mit Harndrainagen wird in de</w:t>
      </w:r>
      <w:r w:rsidR="005D6C19" w:rsidRPr="005F4E7E">
        <w:rPr>
          <w:rFonts w:ascii="Arial" w:eastAsia="MinionPro-Regular" w:hAnsi="Arial" w:cs="Arial"/>
        </w:rPr>
        <w:t>n</w:t>
      </w:r>
      <w:r w:rsidRPr="005F4E7E">
        <w:rPr>
          <w:rFonts w:ascii="Arial" w:eastAsia="MinionPro-Regular" w:hAnsi="Arial" w:cs="Arial"/>
        </w:rPr>
        <w:t xml:space="preserve"> KRINKO-Empfehlung</w:t>
      </w:r>
      <w:r w:rsidR="005D6C19" w:rsidRPr="005F4E7E">
        <w:rPr>
          <w:rFonts w:ascii="Arial" w:eastAsia="MinionPro-Regular" w:hAnsi="Arial" w:cs="Arial"/>
        </w:rPr>
        <w:t>en „Infektionsprävention in Heimen“ (Kap. 6.1) und</w:t>
      </w:r>
      <w:r w:rsidRPr="005F4E7E">
        <w:rPr>
          <w:rFonts w:ascii="Arial" w:eastAsia="MinionPro-Regular" w:hAnsi="Arial" w:cs="Arial"/>
        </w:rPr>
        <w:t xml:space="preserve"> „</w:t>
      </w:r>
      <w:r w:rsidR="005D6C19" w:rsidRPr="005F4E7E">
        <w:rPr>
          <w:rFonts w:ascii="Arial" w:hAnsi="Arial" w:cs="Arial"/>
        </w:rPr>
        <w:t>Empfehlungen zur Prävention und Kontrolle Katheter-assoziierter Harnwegsinfektionen“ beschrieben.</w:t>
      </w:r>
    </w:p>
    <w:p w:rsidR="005F4E7E" w:rsidRPr="005F4E7E" w:rsidRDefault="005F4E7E" w:rsidP="00122F49">
      <w:pPr>
        <w:pStyle w:val="berschrift3"/>
        <w:rPr>
          <w:sz w:val="24"/>
          <w:szCs w:val="24"/>
        </w:rPr>
      </w:pPr>
    </w:p>
    <w:p w:rsidR="00122F49" w:rsidRPr="005F4E7E" w:rsidRDefault="00122F49" w:rsidP="00122F49">
      <w:pPr>
        <w:pStyle w:val="berschrift3"/>
        <w:rPr>
          <w:sz w:val="24"/>
          <w:szCs w:val="24"/>
        </w:rPr>
      </w:pPr>
      <w:r w:rsidRPr="005F4E7E">
        <w:rPr>
          <w:sz w:val="24"/>
          <w:szCs w:val="24"/>
        </w:rPr>
        <w:t>Regelungspunkte</w:t>
      </w:r>
    </w:p>
    <w:p w:rsidR="008F5C88" w:rsidRPr="005F4E7E" w:rsidRDefault="00967C4A" w:rsidP="00967C4A">
      <w:pPr>
        <w:rPr>
          <w:rFonts w:ascii="Arial" w:hAnsi="Arial" w:cs="Arial"/>
        </w:rPr>
      </w:pPr>
      <w:r w:rsidRPr="005F4E7E">
        <w:rPr>
          <w:rFonts w:ascii="Arial" w:hAnsi="Arial" w:cs="Arial"/>
        </w:rPr>
        <w:t xml:space="preserve">Die </w:t>
      </w:r>
      <w:r w:rsidR="00FC2725">
        <w:rPr>
          <w:rFonts w:ascii="Arial" w:hAnsi="Arial" w:cs="Arial"/>
        </w:rPr>
        <w:t>Verfahrensanweisung</w:t>
      </w:r>
      <w:r w:rsidRPr="005F4E7E">
        <w:rPr>
          <w:rFonts w:ascii="Arial" w:hAnsi="Arial" w:cs="Arial"/>
        </w:rPr>
        <w:t xml:space="preserve"> </w:t>
      </w:r>
      <w:r w:rsidR="005D6C19" w:rsidRPr="005F4E7E">
        <w:rPr>
          <w:rFonts w:ascii="Arial" w:hAnsi="Arial" w:cs="Arial"/>
        </w:rPr>
        <w:t>„Prävention von Harnwegsinfektionen“</w:t>
      </w:r>
      <w:r w:rsidR="00BF0659" w:rsidRPr="005F4E7E">
        <w:rPr>
          <w:rFonts w:ascii="Arial" w:hAnsi="Arial" w:cs="Arial"/>
        </w:rPr>
        <w:t xml:space="preserve"> </w:t>
      </w:r>
      <w:r w:rsidR="00511DAD" w:rsidRPr="005F4E7E">
        <w:rPr>
          <w:rFonts w:ascii="Arial" w:hAnsi="Arial" w:cs="Arial"/>
        </w:rPr>
        <w:t>soll</w:t>
      </w:r>
      <w:r w:rsidR="005D6C19" w:rsidRPr="005F4E7E">
        <w:rPr>
          <w:rFonts w:ascii="Arial" w:hAnsi="Arial" w:cs="Arial"/>
        </w:rPr>
        <w:t xml:space="preserve"> </w:t>
      </w:r>
      <w:r w:rsidRPr="005F4E7E">
        <w:rPr>
          <w:rFonts w:ascii="Arial" w:hAnsi="Arial" w:cs="Arial"/>
        </w:rPr>
        <w:t xml:space="preserve">für </w:t>
      </w:r>
      <w:r w:rsidR="008F5C88" w:rsidRPr="005F4E7E">
        <w:rPr>
          <w:rFonts w:ascii="Arial" w:hAnsi="Arial" w:cs="Arial"/>
        </w:rPr>
        <w:t>pflegerische</w:t>
      </w:r>
      <w:r w:rsidR="00FC2725">
        <w:rPr>
          <w:rFonts w:ascii="Arial" w:hAnsi="Arial" w:cs="Arial"/>
        </w:rPr>
        <w:t>s</w:t>
      </w:r>
      <w:r w:rsidR="008F5C88" w:rsidRPr="005F4E7E">
        <w:rPr>
          <w:rFonts w:ascii="Arial" w:hAnsi="Arial" w:cs="Arial"/>
        </w:rPr>
        <w:t xml:space="preserve"> </w:t>
      </w:r>
      <w:r w:rsidR="00B13F89" w:rsidRPr="005F4E7E">
        <w:rPr>
          <w:rFonts w:ascii="Arial" w:hAnsi="Arial" w:cs="Arial"/>
        </w:rPr>
        <w:t xml:space="preserve">Personal </w:t>
      </w:r>
      <w:r w:rsidR="008F5C88" w:rsidRPr="005F4E7E">
        <w:rPr>
          <w:rFonts w:ascii="Arial" w:hAnsi="Arial" w:cs="Arial"/>
        </w:rPr>
        <w:t>verbindlich vorgeben</w:t>
      </w:r>
      <w:r w:rsidR="0057170A" w:rsidRPr="005F4E7E">
        <w:rPr>
          <w:rFonts w:ascii="Arial" w:hAnsi="Arial" w:cs="Arial"/>
        </w:rPr>
        <w:t>:</w:t>
      </w:r>
    </w:p>
    <w:p w:rsidR="005D6C19" w:rsidRPr="005F4E7E" w:rsidRDefault="005F4E7E" w:rsidP="005F4E7E">
      <w:pPr>
        <w:numPr>
          <w:ilvl w:val="0"/>
          <w:numId w:val="7"/>
        </w:numPr>
        <w:rPr>
          <w:rFonts w:ascii="Arial" w:hAnsi="Arial" w:cs="Arial"/>
        </w:rPr>
      </w:pPr>
      <w:r w:rsidRPr="005F4E7E">
        <w:rPr>
          <w:rFonts w:ascii="Arial" w:hAnsi="Arial" w:cs="Arial"/>
        </w:rPr>
        <w:t>W</w:t>
      </w:r>
      <w:r w:rsidR="001F5681" w:rsidRPr="005F4E7E">
        <w:rPr>
          <w:rFonts w:ascii="Arial" w:hAnsi="Arial" w:cs="Arial"/>
        </w:rPr>
        <w:t>elche Indikationen für welche Art der Harnableitung bestehen und w</w:t>
      </w:r>
      <w:r w:rsidR="005D6C19" w:rsidRPr="005F4E7E">
        <w:rPr>
          <w:rFonts w:ascii="Arial" w:hAnsi="Arial" w:cs="Arial"/>
        </w:rPr>
        <w:t>elche</w:t>
      </w:r>
      <w:r w:rsidR="00FC2725">
        <w:rPr>
          <w:rFonts w:ascii="Arial" w:hAnsi="Arial" w:cs="Arial"/>
        </w:rPr>
        <w:t>s</w:t>
      </w:r>
      <w:r w:rsidR="005D6C19" w:rsidRPr="005F4E7E">
        <w:rPr>
          <w:rFonts w:ascii="Arial" w:hAnsi="Arial" w:cs="Arial"/>
        </w:rPr>
        <w:t xml:space="preserve"> Personal mit welchen Aufgaben zu betrauen </w:t>
      </w:r>
      <w:r w:rsidR="007F3A28">
        <w:rPr>
          <w:rFonts w:ascii="Arial" w:hAnsi="Arial" w:cs="Arial"/>
        </w:rPr>
        <w:t>ist</w:t>
      </w:r>
      <w:r w:rsidR="005D6C19" w:rsidRPr="005F4E7E">
        <w:rPr>
          <w:rFonts w:ascii="Arial" w:hAnsi="Arial" w:cs="Arial"/>
        </w:rPr>
        <w:t>.</w:t>
      </w:r>
    </w:p>
    <w:p w:rsidR="001F5681" w:rsidRPr="005F4E7E" w:rsidRDefault="005F4E7E" w:rsidP="005D6C19">
      <w:pPr>
        <w:numPr>
          <w:ilvl w:val="0"/>
          <w:numId w:val="7"/>
        </w:numPr>
        <w:rPr>
          <w:rFonts w:ascii="Arial" w:hAnsi="Arial" w:cs="Arial"/>
        </w:rPr>
      </w:pPr>
      <w:r w:rsidRPr="005F4E7E">
        <w:rPr>
          <w:rFonts w:ascii="Arial" w:hAnsi="Arial" w:cs="Arial"/>
        </w:rPr>
        <w:t>W</w:t>
      </w:r>
      <w:r w:rsidR="001F5681" w:rsidRPr="005F4E7E">
        <w:rPr>
          <w:rFonts w:ascii="Arial" w:hAnsi="Arial" w:cs="Arial"/>
        </w:rPr>
        <w:t>elche Maßnahmen der Personalhygiene einzuhalten sind</w:t>
      </w:r>
      <w:r w:rsidR="001D0EC6" w:rsidRPr="005F4E7E">
        <w:rPr>
          <w:rFonts w:ascii="Arial" w:hAnsi="Arial" w:cs="Arial"/>
        </w:rPr>
        <w:t>.</w:t>
      </w:r>
    </w:p>
    <w:p w:rsidR="005D6C19" w:rsidRPr="005F4E7E" w:rsidRDefault="005F4E7E" w:rsidP="005D6C19">
      <w:pPr>
        <w:numPr>
          <w:ilvl w:val="0"/>
          <w:numId w:val="7"/>
        </w:numPr>
        <w:rPr>
          <w:rFonts w:ascii="Arial" w:hAnsi="Arial" w:cs="Arial"/>
        </w:rPr>
      </w:pPr>
      <w:r w:rsidRPr="005F4E7E">
        <w:rPr>
          <w:rFonts w:ascii="Arial" w:hAnsi="Arial" w:cs="Arial"/>
        </w:rPr>
        <w:t>M</w:t>
      </w:r>
      <w:r w:rsidR="001D0EC6" w:rsidRPr="005F4E7E">
        <w:rPr>
          <w:rFonts w:ascii="Arial" w:hAnsi="Arial" w:cs="Arial"/>
        </w:rPr>
        <w:t>it welchen Materialien, u</w:t>
      </w:r>
      <w:r w:rsidR="005D6C19" w:rsidRPr="005F4E7E">
        <w:rPr>
          <w:rFonts w:ascii="Arial" w:hAnsi="Arial" w:cs="Arial"/>
        </w:rPr>
        <w:t xml:space="preserve">nter welchen Kautelen und auf welche Weise </w:t>
      </w:r>
      <w:r w:rsidR="00FC2725">
        <w:rPr>
          <w:rFonts w:ascii="Arial" w:hAnsi="Arial" w:cs="Arial"/>
        </w:rPr>
        <w:t xml:space="preserve"> </w:t>
      </w:r>
      <w:r w:rsidR="00FC2725">
        <w:rPr>
          <w:rFonts w:ascii="Arial" w:hAnsi="Arial" w:cs="Arial"/>
        </w:rPr>
        <w:br/>
      </w:r>
      <w:r w:rsidR="005D6C19" w:rsidRPr="005F4E7E">
        <w:rPr>
          <w:rFonts w:ascii="Arial" w:hAnsi="Arial" w:cs="Arial"/>
        </w:rPr>
        <w:t xml:space="preserve">transurethrale Harnwegskatheter einzulegen bzw. zu wechseln bzw. zu entfernen sind. </w:t>
      </w:r>
    </w:p>
    <w:p w:rsidR="005D6C19" w:rsidRPr="005F4E7E" w:rsidRDefault="005F4E7E" w:rsidP="005D6C19">
      <w:pPr>
        <w:numPr>
          <w:ilvl w:val="0"/>
          <w:numId w:val="7"/>
        </w:numPr>
        <w:rPr>
          <w:rFonts w:ascii="Arial" w:hAnsi="Arial" w:cs="Arial"/>
        </w:rPr>
      </w:pPr>
      <w:r w:rsidRPr="005F4E7E">
        <w:rPr>
          <w:rFonts w:ascii="Arial" w:hAnsi="Arial" w:cs="Arial"/>
        </w:rPr>
        <w:t>W</w:t>
      </w:r>
      <w:r w:rsidR="005D6C19" w:rsidRPr="005F4E7E">
        <w:rPr>
          <w:rFonts w:ascii="Arial" w:hAnsi="Arial" w:cs="Arial"/>
        </w:rPr>
        <w:t xml:space="preserve">ie mit transurethralen </w:t>
      </w:r>
      <w:r w:rsidR="00373BF8" w:rsidRPr="005F4E7E">
        <w:rPr>
          <w:rFonts w:ascii="Arial" w:hAnsi="Arial" w:cs="Arial"/>
        </w:rPr>
        <w:t>K</w:t>
      </w:r>
      <w:r w:rsidR="005D6C19" w:rsidRPr="005F4E7E">
        <w:rPr>
          <w:rFonts w:ascii="Arial" w:hAnsi="Arial" w:cs="Arial"/>
        </w:rPr>
        <w:t>athetern umzugehen ist.</w:t>
      </w:r>
    </w:p>
    <w:p w:rsidR="005D6C19" w:rsidRPr="005F4E7E" w:rsidRDefault="005F4E7E" w:rsidP="005D6C19">
      <w:pPr>
        <w:numPr>
          <w:ilvl w:val="0"/>
          <w:numId w:val="7"/>
        </w:numPr>
        <w:rPr>
          <w:rFonts w:ascii="Arial" w:hAnsi="Arial" w:cs="Arial"/>
        </w:rPr>
      </w:pPr>
      <w:r w:rsidRPr="005F4E7E">
        <w:rPr>
          <w:rFonts w:ascii="Arial" w:hAnsi="Arial" w:cs="Arial"/>
        </w:rPr>
        <w:t>W</w:t>
      </w:r>
      <w:r w:rsidR="005D6C19" w:rsidRPr="005F4E7E">
        <w:rPr>
          <w:rFonts w:ascii="Arial" w:hAnsi="Arial" w:cs="Arial"/>
        </w:rPr>
        <w:t>ie mit suprapubischen Drainagen umzugehen ist.</w:t>
      </w:r>
    </w:p>
    <w:p w:rsidR="005D6C19" w:rsidRPr="005F4E7E" w:rsidRDefault="005F4E7E" w:rsidP="005F4E7E">
      <w:pPr>
        <w:numPr>
          <w:ilvl w:val="0"/>
          <w:numId w:val="7"/>
        </w:numPr>
        <w:rPr>
          <w:rFonts w:ascii="Arial" w:hAnsi="Arial" w:cs="Arial"/>
        </w:rPr>
      </w:pPr>
      <w:r w:rsidRPr="005F4E7E">
        <w:rPr>
          <w:rFonts w:ascii="Arial" w:hAnsi="Arial" w:cs="Arial"/>
        </w:rPr>
        <w:t>W</w:t>
      </w:r>
      <w:r w:rsidR="005D6C19" w:rsidRPr="005F4E7E">
        <w:rPr>
          <w:rFonts w:ascii="Arial" w:hAnsi="Arial" w:cs="Arial"/>
        </w:rPr>
        <w:t>ie mit Harnableitungssystemen umzugehen ist.</w:t>
      </w:r>
    </w:p>
    <w:p w:rsidR="005F4E7E" w:rsidRPr="005F4E7E" w:rsidRDefault="005F4E7E" w:rsidP="00122F49">
      <w:pPr>
        <w:pStyle w:val="berschrift3"/>
        <w:rPr>
          <w:sz w:val="24"/>
          <w:szCs w:val="24"/>
        </w:rPr>
      </w:pPr>
    </w:p>
    <w:p w:rsidR="00821356" w:rsidRPr="005F4E7E" w:rsidRDefault="00122F49" w:rsidP="00122F49">
      <w:pPr>
        <w:pStyle w:val="berschrift3"/>
        <w:rPr>
          <w:sz w:val="24"/>
          <w:szCs w:val="24"/>
        </w:rPr>
      </w:pPr>
      <w:r w:rsidRPr="005F4E7E">
        <w:rPr>
          <w:sz w:val="24"/>
          <w:szCs w:val="24"/>
        </w:rPr>
        <w:t>Umsetzung</w:t>
      </w:r>
    </w:p>
    <w:p w:rsidR="00615183" w:rsidRPr="005F4E7E" w:rsidRDefault="00821356" w:rsidP="009059D1">
      <w:pPr>
        <w:numPr>
          <w:ilvl w:val="0"/>
          <w:numId w:val="1"/>
        </w:numPr>
        <w:rPr>
          <w:rFonts w:ascii="Arial" w:hAnsi="Arial" w:cs="Arial"/>
        </w:rPr>
      </w:pPr>
      <w:r w:rsidRPr="005F4E7E">
        <w:rPr>
          <w:rFonts w:ascii="Arial" w:hAnsi="Arial" w:cs="Arial"/>
        </w:rPr>
        <w:t>Die zu treffenden Festlegungen sollen auf fachlichen Empfehlungen</w:t>
      </w:r>
      <w:r w:rsidR="00D34317">
        <w:rPr>
          <w:rFonts w:ascii="Arial" w:hAnsi="Arial" w:cs="Arial"/>
        </w:rPr>
        <w:t xml:space="preserve"> (RKI)</w:t>
      </w:r>
      <w:r w:rsidRPr="005F4E7E">
        <w:rPr>
          <w:rFonts w:ascii="Arial" w:hAnsi="Arial" w:cs="Arial"/>
        </w:rPr>
        <w:t xml:space="preserve"> und den geltenden Vorgaben des Arbeitsschutz</w:t>
      </w:r>
      <w:r w:rsidR="00383B78" w:rsidRPr="005F4E7E">
        <w:rPr>
          <w:rFonts w:ascii="Arial" w:hAnsi="Arial" w:cs="Arial"/>
        </w:rPr>
        <w:t>es</w:t>
      </w:r>
      <w:r w:rsidRPr="005F4E7E">
        <w:rPr>
          <w:rFonts w:ascii="Arial" w:hAnsi="Arial" w:cs="Arial"/>
        </w:rPr>
        <w:t xml:space="preserve"> basieren.</w:t>
      </w:r>
    </w:p>
    <w:p w:rsidR="00615183" w:rsidRPr="005F4E7E" w:rsidRDefault="00615183" w:rsidP="00821356">
      <w:pPr>
        <w:numPr>
          <w:ilvl w:val="0"/>
          <w:numId w:val="1"/>
        </w:numPr>
        <w:rPr>
          <w:rFonts w:ascii="Arial" w:hAnsi="Arial" w:cs="Arial"/>
        </w:rPr>
      </w:pPr>
      <w:r w:rsidRPr="005F4E7E">
        <w:rPr>
          <w:rFonts w:ascii="Arial" w:hAnsi="Arial" w:cs="Arial"/>
        </w:rPr>
        <w:t>Der Umgang mit Harndrainagesystem</w:t>
      </w:r>
      <w:r w:rsidR="00D173E0" w:rsidRPr="005F4E7E">
        <w:rPr>
          <w:rFonts w:ascii="Arial" w:hAnsi="Arial" w:cs="Arial"/>
        </w:rPr>
        <w:t>e</w:t>
      </w:r>
      <w:r w:rsidRPr="005F4E7E">
        <w:rPr>
          <w:rFonts w:ascii="Arial" w:hAnsi="Arial" w:cs="Arial"/>
        </w:rPr>
        <w:t xml:space="preserve">n ist in besonderer Weise mit Biostoffen verbunden und erfordert somit den Einsatz von persönlicher Schutzausrüstung. </w:t>
      </w:r>
    </w:p>
    <w:p w:rsidR="00821356" w:rsidRPr="005F4E7E" w:rsidRDefault="00821356" w:rsidP="00821356">
      <w:pPr>
        <w:numPr>
          <w:ilvl w:val="0"/>
          <w:numId w:val="1"/>
        </w:numPr>
        <w:rPr>
          <w:rFonts w:ascii="Arial" w:hAnsi="Arial" w:cs="Arial"/>
        </w:rPr>
      </w:pPr>
      <w:r w:rsidRPr="005F4E7E">
        <w:rPr>
          <w:rFonts w:ascii="Arial" w:hAnsi="Arial" w:cs="Arial"/>
        </w:rPr>
        <w:t xml:space="preserve">Die erforderlichen Mittel sind seitens des Arbeitgebers </w:t>
      </w:r>
      <w:r w:rsidR="009059D1" w:rsidRPr="005F4E7E">
        <w:rPr>
          <w:rFonts w:ascii="Arial" w:hAnsi="Arial" w:cs="Arial"/>
        </w:rPr>
        <w:t xml:space="preserve">kostenlos </w:t>
      </w:r>
      <w:r w:rsidRPr="005F4E7E">
        <w:rPr>
          <w:rFonts w:ascii="Arial" w:hAnsi="Arial" w:cs="Arial"/>
        </w:rPr>
        <w:t xml:space="preserve">zur Verfügung zu stellen. Vor allem die ortsnahe und schnelle Verfügbarkeit von </w:t>
      </w:r>
      <w:r w:rsidR="00122F49" w:rsidRPr="005F4E7E">
        <w:rPr>
          <w:rFonts w:ascii="Arial" w:hAnsi="Arial" w:cs="Arial"/>
        </w:rPr>
        <w:t xml:space="preserve">Schutzhandschuhen und </w:t>
      </w:r>
      <w:r w:rsidRPr="005F4E7E">
        <w:rPr>
          <w:rFonts w:ascii="Arial" w:hAnsi="Arial" w:cs="Arial"/>
        </w:rPr>
        <w:t>Händedesinfektionsmittel</w:t>
      </w:r>
      <w:r w:rsidR="007F3A28">
        <w:rPr>
          <w:rFonts w:ascii="Arial" w:hAnsi="Arial" w:cs="Arial"/>
        </w:rPr>
        <w:t>n</w:t>
      </w:r>
      <w:r w:rsidRPr="005F4E7E">
        <w:rPr>
          <w:rFonts w:ascii="Arial" w:hAnsi="Arial" w:cs="Arial"/>
        </w:rPr>
        <w:t xml:space="preserve"> ist zu sichern.</w:t>
      </w:r>
    </w:p>
    <w:p w:rsidR="00821356" w:rsidRPr="005F4E7E" w:rsidRDefault="00821356" w:rsidP="00821356">
      <w:pPr>
        <w:numPr>
          <w:ilvl w:val="0"/>
          <w:numId w:val="1"/>
        </w:numPr>
        <w:rPr>
          <w:rFonts w:ascii="Arial" w:hAnsi="Arial" w:cs="Arial"/>
        </w:rPr>
      </w:pPr>
      <w:r w:rsidRPr="005F4E7E">
        <w:rPr>
          <w:rFonts w:ascii="Arial" w:hAnsi="Arial" w:cs="Arial"/>
        </w:rPr>
        <w:t xml:space="preserve">Zur Qualitätssicherung werden </w:t>
      </w:r>
      <w:r w:rsidR="00122F49" w:rsidRPr="005F4E7E">
        <w:rPr>
          <w:rFonts w:ascii="Arial" w:hAnsi="Arial" w:cs="Arial"/>
        </w:rPr>
        <w:t>regelmäßige Schulungen</w:t>
      </w:r>
      <w:r w:rsidR="00615183" w:rsidRPr="005F4E7E">
        <w:rPr>
          <w:rFonts w:ascii="Arial" w:hAnsi="Arial" w:cs="Arial"/>
        </w:rPr>
        <w:t xml:space="preserve"> </w:t>
      </w:r>
      <w:r w:rsidRPr="005F4E7E">
        <w:rPr>
          <w:rFonts w:ascii="Arial" w:hAnsi="Arial" w:cs="Arial"/>
        </w:rPr>
        <w:t>empfohlen.</w:t>
      </w:r>
    </w:p>
    <w:p w:rsidR="005F4E7E" w:rsidRDefault="005F4E7E" w:rsidP="00383B78">
      <w:pPr>
        <w:pStyle w:val="berschrift3"/>
        <w:rPr>
          <w:sz w:val="24"/>
          <w:szCs w:val="24"/>
        </w:rPr>
      </w:pPr>
    </w:p>
    <w:p w:rsidR="00383B78" w:rsidRPr="005F4E7E" w:rsidRDefault="00383B78" w:rsidP="00383B78">
      <w:pPr>
        <w:pStyle w:val="berschrift3"/>
        <w:rPr>
          <w:sz w:val="24"/>
          <w:szCs w:val="24"/>
        </w:rPr>
      </w:pPr>
      <w:r w:rsidRPr="005F4E7E">
        <w:rPr>
          <w:sz w:val="24"/>
          <w:szCs w:val="24"/>
        </w:rPr>
        <w:t>Hinweise</w:t>
      </w:r>
    </w:p>
    <w:p w:rsidR="00821356" w:rsidRPr="005F4E7E" w:rsidRDefault="00122F49" w:rsidP="00967C4A">
      <w:pPr>
        <w:rPr>
          <w:rFonts w:ascii="Arial" w:hAnsi="Arial" w:cs="Arial"/>
        </w:rPr>
      </w:pPr>
      <w:r w:rsidRPr="005F4E7E">
        <w:rPr>
          <w:rFonts w:ascii="Arial" w:hAnsi="Arial" w:cs="Arial"/>
        </w:rPr>
        <w:t>Die nachfolgenden Ausführungen wurden den entsprechenden fachlichen Empfehlungen entnommen und können als Textbausteine in die interne Richtlinie übernommen werden:</w:t>
      </w:r>
    </w:p>
    <w:p w:rsidR="005F4E7E" w:rsidRDefault="005F4E7E" w:rsidP="00122F49">
      <w:pPr>
        <w:pStyle w:val="berschrift3"/>
        <w:rPr>
          <w:sz w:val="24"/>
          <w:szCs w:val="24"/>
        </w:rPr>
      </w:pPr>
    </w:p>
    <w:p w:rsidR="004D71BC" w:rsidRPr="005F4E7E" w:rsidRDefault="004D71BC" w:rsidP="00122F49">
      <w:pPr>
        <w:pStyle w:val="berschrift3"/>
        <w:rPr>
          <w:sz w:val="24"/>
          <w:szCs w:val="24"/>
        </w:rPr>
      </w:pPr>
      <w:r w:rsidRPr="005F4E7E">
        <w:rPr>
          <w:sz w:val="24"/>
          <w:szCs w:val="24"/>
        </w:rPr>
        <w:t>Allgemeines zu katheterassoziierten Harnwegsinfektionen</w:t>
      </w:r>
    </w:p>
    <w:p w:rsidR="00294781" w:rsidRPr="005F4E7E" w:rsidRDefault="004D71BC" w:rsidP="00294781">
      <w:pPr>
        <w:numPr>
          <w:ilvl w:val="0"/>
          <w:numId w:val="8"/>
        </w:numPr>
        <w:rPr>
          <w:rFonts w:ascii="Arial" w:hAnsi="Arial" w:cs="Arial"/>
        </w:rPr>
      </w:pPr>
      <w:r w:rsidRPr="005F4E7E">
        <w:rPr>
          <w:rFonts w:ascii="Arial" w:hAnsi="Arial" w:cs="Arial"/>
        </w:rPr>
        <w:t>Infektionen der Harnwege sind in Alten</w:t>
      </w:r>
      <w:r w:rsidR="00294781" w:rsidRPr="005F4E7E">
        <w:rPr>
          <w:rFonts w:ascii="Arial" w:hAnsi="Arial" w:cs="Arial"/>
        </w:rPr>
        <w:t xml:space="preserve">- </w:t>
      </w:r>
      <w:r w:rsidRPr="005F4E7E">
        <w:rPr>
          <w:rFonts w:ascii="Arial" w:hAnsi="Arial" w:cs="Arial"/>
        </w:rPr>
        <w:t xml:space="preserve">und Pflegeeinrichtungen die häufigsten Infektionen, überwiegend bedingt durch den Einsatz transurethraler Katheter. </w:t>
      </w:r>
    </w:p>
    <w:p w:rsidR="004D71BC" w:rsidRPr="005F4E7E" w:rsidRDefault="004D71BC" w:rsidP="00294781">
      <w:pPr>
        <w:numPr>
          <w:ilvl w:val="0"/>
          <w:numId w:val="8"/>
        </w:numPr>
        <w:rPr>
          <w:rFonts w:ascii="Arial" w:hAnsi="Arial" w:cs="Arial"/>
        </w:rPr>
      </w:pPr>
      <w:r w:rsidRPr="005F4E7E">
        <w:rPr>
          <w:rFonts w:ascii="Arial" w:hAnsi="Arial" w:cs="Arial"/>
        </w:rPr>
        <w:t xml:space="preserve">Zwischen 5% und 10% der in Pflegeheimen versorgten Personen sind katheterisiert; in Einrichtungen mit besonders pflegebedürftigen Personen sind die Raten noch höher und können bis 50% betragen. </w:t>
      </w:r>
    </w:p>
    <w:p w:rsidR="00294781" w:rsidRPr="005F4E7E" w:rsidRDefault="004D71BC" w:rsidP="00294781">
      <w:pPr>
        <w:numPr>
          <w:ilvl w:val="0"/>
          <w:numId w:val="8"/>
        </w:numPr>
        <w:rPr>
          <w:rFonts w:ascii="Arial" w:hAnsi="Arial" w:cs="Arial"/>
        </w:rPr>
      </w:pPr>
      <w:r w:rsidRPr="005F4E7E">
        <w:rPr>
          <w:rFonts w:ascii="Arial" w:hAnsi="Arial" w:cs="Arial"/>
        </w:rPr>
        <w:t xml:space="preserve">Harnableitungen müssen wegen dieses Infektionsrisikos auf das unvermeidliche Minimum reduziert bleiben. Dies bedeutet, dass allein medizinische Indikationen die Voraussetzung für das Legen eines Blasenkatheters sein dürfen und diese vom behandelnden Arzt gestellt </w:t>
      </w:r>
      <w:r w:rsidR="007F3A28">
        <w:rPr>
          <w:rFonts w:ascii="Arial" w:hAnsi="Arial" w:cs="Arial"/>
        </w:rPr>
        <w:t>werden</w:t>
      </w:r>
      <w:r w:rsidRPr="005F4E7E">
        <w:rPr>
          <w:rFonts w:ascii="Arial" w:hAnsi="Arial" w:cs="Arial"/>
        </w:rPr>
        <w:t xml:space="preserve">. </w:t>
      </w:r>
    </w:p>
    <w:p w:rsidR="00294781" w:rsidRPr="005F4E7E" w:rsidRDefault="004D71BC" w:rsidP="00294781">
      <w:pPr>
        <w:numPr>
          <w:ilvl w:val="0"/>
          <w:numId w:val="8"/>
        </w:numPr>
        <w:rPr>
          <w:rFonts w:ascii="Arial" w:hAnsi="Arial" w:cs="Arial"/>
        </w:rPr>
      </w:pPr>
      <w:r w:rsidRPr="005F4E7E">
        <w:rPr>
          <w:rFonts w:ascii="Arial" w:hAnsi="Arial" w:cs="Arial"/>
        </w:rPr>
        <w:t>Unter infektionspräventiven</w:t>
      </w:r>
      <w:r w:rsidR="00294781" w:rsidRPr="005F4E7E">
        <w:rPr>
          <w:rFonts w:ascii="Arial" w:hAnsi="Arial" w:cs="Arial"/>
        </w:rPr>
        <w:t xml:space="preserve"> </w:t>
      </w:r>
      <w:r w:rsidRPr="005F4E7E">
        <w:rPr>
          <w:rFonts w:ascii="Arial" w:hAnsi="Arial" w:cs="Arial"/>
        </w:rPr>
        <w:t>Aspekten sollten bei</w:t>
      </w:r>
      <w:r w:rsidR="00083156" w:rsidRPr="005F4E7E">
        <w:rPr>
          <w:rFonts w:ascii="Arial" w:hAnsi="Arial" w:cs="Arial"/>
        </w:rPr>
        <w:t xml:space="preserve"> </w:t>
      </w:r>
      <w:r w:rsidRPr="005F4E7E">
        <w:rPr>
          <w:rFonts w:ascii="Arial" w:hAnsi="Arial" w:cs="Arial"/>
        </w:rPr>
        <w:t>länger dauernder oder bleibender Inkontinenz</w:t>
      </w:r>
      <w:r w:rsidR="00083156" w:rsidRPr="005F4E7E">
        <w:rPr>
          <w:rFonts w:ascii="Arial" w:hAnsi="Arial" w:cs="Arial"/>
        </w:rPr>
        <w:t xml:space="preserve"> </w:t>
      </w:r>
      <w:r w:rsidRPr="005F4E7E">
        <w:rPr>
          <w:rFonts w:ascii="Arial" w:hAnsi="Arial" w:cs="Arial"/>
        </w:rPr>
        <w:t>Alternativen zu Verweilkathetern für</w:t>
      </w:r>
      <w:r w:rsidR="00083156" w:rsidRPr="005F4E7E">
        <w:rPr>
          <w:rFonts w:ascii="Arial" w:hAnsi="Arial" w:cs="Arial"/>
        </w:rPr>
        <w:t xml:space="preserve"> </w:t>
      </w:r>
      <w:r w:rsidRPr="005F4E7E">
        <w:rPr>
          <w:rFonts w:ascii="Arial" w:hAnsi="Arial" w:cs="Arial"/>
        </w:rPr>
        <w:t>die Harnableitung eingesetzt werden. Dies</w:t>
      </w:r>
      <w:r w:rsidR="00083156" w:rsidRPr="005F4E7E">
        <w:rPr>
          <w:rFonts w:ascii="Arial" w:hAnsi="Arial" w:cs="Arial"/>
        </w:rPr>
        <w:t xml:space="preserve"> </w:t>
      </w:r>
      <w:r w:rsidRPr="005F4E7E">
        <w:rPr>
          <w:rFonts w:ascii="Arial" w:hAnsi="Arial" w:cs="Arial"/>
        </w:rPr>
        <w:t>sind z. B. Kondom-Urinale, aufsaugende</w:t>
      </w:r>
      <w:r w:rsidR="00083156" w:rsidRPr="005F4E7E">
        <w:rPr>
          <w:rFonts w:ascii="Arial" w:hAnsi="Arial" w:cs="Arial"/>
        </w:rPr>
        <w:t xml:space="preserve"> </w:t>
      </w:r>
      <w:r w:rsidRPr="005F4E7E">
        <w:rPr>
          <w:rFonts w:ascii="Arial" w:hAnsi="Arial" w:cs="Arial"/>
        </w:rPr>
        <w:t>Medien (Vorlagen, Windeln) oder, bei entsprechender</w:t>
      </w:r>
      <w:r w:rsidR="00083156" w:rsidRPr="005F4E7E">
        <w:rPr>
          <w:rFonts w:ascii="Arial" w:hAnsi="Arial" w:cs="Arial"/>
        </w:rPr>
        <w:t xml:space="preserve"> </w:t>
      </w:r>
      <w:r w:rsidRPr="005F4E7E">
        <w:rPr>
          <w:rFonts w:ascii="Arial" w:hAnsi="Arial" w:cs="Arial"/>
        </w:rPr>
        <w:t>Indikation, operative Harnableitungen.</w:t>
      </w:r>
    </w:p>
    <w:p w:rsidR="00294781" w:rsidRPr="005F4E7E" w:rsidRDefault="004D71BC" w:rsidP="00294781">
      <w:pPr>
        <w:numPr>
          <w:ilvl w:val="0"/>
          <w:numId w:val="8"/>
        </w:numPr>
        <w:rPr>
          <w:rFonts w:ascii="Arial" w:hAnsi="Arial" w:cs="Arial"/>
        </w:rPr>
      </w:pPr>
      <w:r w:rsidRPr="005F4E7E">
        <w:rPr>
          <w:rFonts w:ascii="Arial" w:hAnsi="Arial" w:cs="Arial"/>
        </w:rPr>
        <w:t>Auch bei nicht katheterisierten Bewohnern</w:t>
      </w:r>
      <w:r w:rsidR="00083156" w:rsidRPr="005F4E7E">
        <w:rPr>
          <w:rFonts w:ascii="Arial" w:hAnsi="Arial" w:cs="Arial"/>
        </w:rPr>
        <w:t xml:space="preserve"> </w:t>
      </w:r>
      <w:r w:rsidRPr="005F4E7E">
        <w:rPr>
          <w:rFonts w:ascii="Arial" w:hAnsi="Arial" w:cs="Arial"/>
        </w:rPr>
        <w:t>kann es, bedingt durch funktionelle</w:t>
      </w:r>
      <w:r w:rsidR="00083156" w:rsidRPr="005F4E7E">
        <w:rPr>
          <w:rFonts w:ascii="Arial" w:hAnsi="Arial" w:cs="Arial"/>
        </w:rPr>
        <w:t xml:space="preserve"> </w:t>
      </w:r>
      <w:r w:rsidRPr="005F4E7E">
        <w:rPr>
          <w:rFonts w:ascii="Arial" w:hAnsi="Arial" w:cs="Arial"/>
        </w:rPr>
        <w:t>Störungen oder chronische Krankheiten,</w:t>
      </w:r>
      <w:r w:rsidR="00083156" w:rsidRPr="005F4E7E">
        <w:rPr>
          <w:rFonts w:ascii="Arial" w:hAnsi="Arial" w:cs="Arial"/>
        </w:rPr>
        <w:t xml:space="preserve"> </w:t>
      </w:r>
      <w:r w:rsidRPr="005F4E7E">
        <w:rPr>
          <w:rFonts w:ascii="Arial" w:hAnsi="Arial" w:cs="Arial"/>
        </w:rPr>
        <w:t>zur Bakteriurie und damit potenziell zu</w:t>
      </w:r>
      <w:r w:rsidR="00083156" w:rsidRPr="005F4E7E">
        <w:rPr>
          <w:rFonts w:ascii="Arial" w:hAnsi="Arial" w:cs="Arial"/>
        </w:rPr>
        <w:t xml:space="preserve"> </w:t>
      </w:r>
      <w:r w:rsidRPr="005F4E7E">
        <w:rPr>
          <w:rFonts w:ascii="Arial" w:hAnsi="Arial" w:cs="Arial"/>
        </w:rPr>
        <w:t>Harnwegsinfektionen kommen.</w:t>
      </w:r>
      <w:r w:rsidR="00083156" w:rsidRPr="005F4E7E">
        <w:rPr>
          <w:rFonts w:ascii="Arial" w:hAnsi="Arial" w:cs="Arial"/>
        </w:rPr>
        <w:t xml:space="preserve"> </w:t>
      </w:r>
    </w:p>
    <w:p w:rsidR="005F4E7E" w:rsidRPr="00FC2725" w:rsidRDefault="004D71BC" w:rsidP="00122F49">
      <w:pPr>
        <w:numPr>
          <w:ilvl w:val="0"/>
          <w:numId w:val="8"/>
        </w:numPr>
      </w:pPr>
      <w:r w:rsidRPr="005F4E7E">
        <w:rPr>
          <w:rFonts w:ascii="Arial" w:hAnsi="Arial" w:cs="Arial"/>
        </w:rPr>
        <w:t>Die Erreger von Harnwegsinfektionen</w:t>
      </w:r>
      <w:r w:rsidR="00083156" w:rsidRPr="005F4E7E">
        <w:rPr>
          <w:rFonts w:ascii="Arial" w:hAnsi="Arial" w:cs="Arial"/>
        </w:rPr>
        <w:t xml:space="preserve"> </w:t>
      </w:r>
      <w:r w:rsidRPr="005F4E7E">
        <w:rPr>
          <w:rFonts w:ascii="Arial" w:hAnsi="Arial" w:cs="Arial"/>
        </w:rPr>
        <w:t>stammen in der Regel aus der körpereigenen</w:t>
      </w:r>
      <w:r w:rsidR="00083156" w:rsidRPr="005F4E7E">
        <w:rPr>
          <w:rFonts w:ascii="Arial" w:hAnsi="Arial" w:cs="Arial"/>
        </w:rPr>
        <w:t xml:space="preserve"> </w:t>
      </w:r>
      <w:r w:rsidRPr="005F4E7E">
        <w:rPr>
          <w:rFonts w:ascii="Arial" w:hAnsi="Arial" w:cs="Arial"/>
        </w:rPr>
        <w:t>Keimflora der Bewohner selbst. Aber</w:t>
      </w:r>
      <w:r w:rsidR="00083156" w:rsidRPr="005F4E7E">
        <w:rPr>
          <w:rFonts w:ascii="Arial" w:hAnsi="Arial" w:cs="Arial"/>
        </w:rPr>
        <w:t xml:space="preserve"> </w:t>
      </w:r>
      <w:r w:rsidRPr="005F4E7E">
        <w:rPr>
          <w:rFonts w:ascii="Arial" w:hAnsi="Arial" w:cs="Arial"/>
        </w:rPr>
        <w:t>auch Übertragungen von einem Bewohner</w:t>
      </w:r>
      <w:r w:rsidR="00083156" w:rsidRPr="005F4E7E">
        <w:rPr>
          <w:rFonts w:ascii="Arial" w:hAnsi="Arial" w:cs="Arial"/>
        </w:rPr>
        <w:t xml:space="preserve"> </w:t>
      </w:r>
      <w:r w:rsidRPr="005F4E7E">
        <w:rPr>
          <w:rFonts w:ascii="Arial" w:hAnsi="Arial" w:cs="Arial"/>
        </w:rPr>
        <w:t>zu</w:t>
      </w:r>
      <w:r w:rsidR="007F3A28">
        <w:rPr>
          <w:rFonts w:ascii="Arial" w:hAnsi="Arial" w:cs="Arial"/>
        </w:rPr>
        <w:t>m</w:t>
      </w:r>
      <w:r w:rsidRPr="005F4E7E">
        <w:rPr>
          <w:rFonts w:ascii="Arial" w:hAnsi="Arial" w:cs="Arial"/>
        </w:rPr>
        <w:t xml:space="preserve"> anderen, z. B. über Hände bzw. Gegenstände</w:t>
      </w:r>
      <w:r w:rsidR="00083156" w:rsidRPr="005F4E7E">
        <w:rPr>
          <w:rFonts w:ascii="Arial" w:hAnsi="Arial" w:cs="Arial"/>
        </w:rPr>
        <w:t xml:space="preserve"> </w:t>
      </w:r>
      <w:r w:rsidRPr="005F4E7E">
        <w:rPr>
          <w:rFonts w:ascii="Arial" w:hAnsi="Arial" w:cs="Arial"/>
        </w:rPr>
        <w:t>wie Urinflaschen, Steckbecken,</w:t>
      </w:r>
      <w:r w:rsidR="00083156" w:rsidRPr="005F4E7E">
        <w:rPr>
          <w:rFonts w:ascii="Arial" w:hAnsi="Arial" w:cs="Arial"/>
        </w:rPr>
        <w:t xml:space="preserve"> </w:t>
      </w:r>
      <w:r w:rsidRPr="005F4E7E">
        <w:rPr>
          <w:rFonts w:ascii="Arial" w:hAnsi="Arial" w:cs="Arial"/>
        </w:rPr>
        <w:t>Sammelgefäße und Urometer sind möglich</w:t>
      </w:r>
      <w:r w:rsidR="00083156" w:rsidRPr="005F4E7E">
        <w:rPr>
          <w:rFonts w:ascii="Arial" w:hAnsi="Arial" w:cs="Arial"/>
        </w:rPr>
        <w:t xml:space="preserve"> </w:t>
      </w:r>
      <w:r w:rsidRPr="005F4E7E">
        <w:rPr>
          <w:rFonts w:ascii="Arial" w:hAnsi="Arial" w:cs="Arial"/>
        </w:rPr>
        <w:t>und können auch Ursache von Ausbrüchen</w:t>
      </w:r>
      <w:r w:rsidR="00083156" w:rsidRPr="005F4E7E">
        <w:rPr>
          <w:rFonts w:ascii="Arial" w:hAnsi="Arial" w:cs="Arial"/>
        </w:rPr>
        <w:t xml:space="preserve"> </w:t>
      </w:r>
      <w:r w:rsidRPr="005F4E7E">
        <w:rPr>
          <w:rFonts w:ascii="Arial" w:hAnsi="Arial" w:cs="Arial"/>
        </w:rPr>
        <w:t>sein</w:t>
      </w:r>
      <w:r w:rsidR="001F5681" w:rsidRPr="005F4E7E">
        <w:rPr>
          <w:rFonts w:ascii="Arial" w:hAnsi="Arial" w:cs="Arial"/>
        </w:rPr>
        <w:t>.</w:t>
      </w:r>
    </w:p>
    <w:p w:rsidR="00FC2725" w:rsidRPr="00FC2725" w:rsidRDefault="00FC2725" w:rsidP="00FC2725"/>
    <w:p w:rsidR="000400FC" w:rsidRPr="00FC2725" w:rsidRDefault="000400FC" w:rsidP="00122F49">
      <w:pPr>
        <w:pStyle w:val="berschrift3"/>
        <w:rPr>
          <w:sz w:val="24"/>
          <w:szCs w:val="24"/>
        </w:rPr>
      </w:pPr>
      <w:r w:rsidRPr="00FC2725">
        <w:rPr>
          <w:sz w:val="24"/>
          <w:szCs w:val="24"/>
        </w:rPr>
        <w:t>Zu 1</w:t>
      </w:r>
      <w:r w:rsidR="00697E7B" w:rsidRPr="00FC2725">
        <w:rPr>
          <w:sz w:val="24"/>
          <w:szCs w:val="24"/>
        </w:rPr>
        <w:t>.</w:t>
      </w:r>
      <w:r w:rsidR="00796836" w:rsidRPr="00FC2725">
        <w:rPr>
          <w:sz w:val="24"/>
          <w:szCs w:val="24"/>
        </w:rPr>
        <w:t xml:space="preserve"> / </w:t>
      </w:r>
      <w:r w:rsidR="001F5681" w:rsidRPr="00FC2725">
        <w:rPr>
          <w:sz w:val="24"/>
          <w:szCs w:val="24"/>
        </w:rPr>
        <w:t xml:space="preserve">Indikationsstellung und </w:t>
      </w:r>
      <w:r w:rsidR="00615183" w:rsidRPr="00FC2725">
        <w:rPr>
          <w:sz w:val="24"/>
          <w:szCs w:val="24"/>
        </w:rPr>
        <w:t>Kompetenzzuweisungen</w:t>
      </w:r>
      <w:r w:rsidRPr="00FC2725">
        <w:rPr>
          <w:sz w:val="24"/>
          <w:szCs w:val="24"/>
        </w:rPr>
        <w:t>:</w:t>
      </w:r>
    </w:p>
    <w:p w:rsidR="00294781" w:rsidRPr="005F4E7E" w:rsidRDefault="00294781" w:rsidP="001F5681">
      <w:pPr>
        <w:numPr>
          <w:ilvl w:val="0"/>
          <w:numId w:val="9"/>
        </w:numPr>
        <w:rPr>
          <w:rFonts w:ascii="Arial" w:hAnsi="Arial" w:cs="Arial"/>
        </w:rPr>
      </w:pPr>
      <w:r w:rsidRPr="005F4E7E">
        <w:rPr>
          <w:rFonts w:ascii="Arial" w:hAnsi="Arial" w:cs="Arial"/>
        </w:rPr>
        <w:t>Blasenkatheter dürfen nur nach strenger ärztlicher Indikationsstellung unter aseptischen Bedingungen angewendet werden und sind so bald wie möglich zu entfernen.</w:t>
      </w:r>
    </w:p>
    <w:p w:rsidR="00347367" w:rsidRPr="005F4E7E" w:rsidRDefault="00347367" w:rsidP="001F5681">
      <w:pPr>
        <w:numPr>
          <w:ilvl w:val="0"/>
          <w:numId w:val="9"/>
        </w:numPr>
        <w:rPr>
          <w:rFonts w:ascii="Arial" w:hAnsi="Arial" w:cs="Arial"/>
        </w:rPr>
      </w:pPr>
      <w:r w:rsidRPr="005F4E7E">
        <w:rPr>
          <w:rFonts w:ascii="Arial" w:hAnsi="Arial" w:cs="Arial"/>
        </w:rPr>
        <w:t>Die Durchführung von transurethralen Katheterisierungen bedingt, dass eine ordnungsgemäße schriftliche ärztliche Anordnung  vorliegt und dass der betreffende Bewohner über die jeweilige Maßnahme durch den Hausarzt in Kenntnis gesetzt wurde, so dass ein Einverständnis vorausgesetzt werden kann.</w:t>
      </w:r>
    </w:p>
    <w:p w:rsidR="00347367" w:rsidRPr="005F4E7E" w:rsidRDefault="001F5681" w:rsidP="00347367">
      <w:pPr>
        <w:numPr>
          <w:ilvl w:val="0"/>
          <w:numId w:val="9"/>
        </w:numPr>
        <w:rPr>
          <w:rFonts w:ascii="Arial" w:hAnsi="Arial" w:cs="Arial"/>
        </w:rPr>
      </w:pPr>
      <w:r w:rsidRPr="005F4E7E">
        <w:rPr>
          <w:rFonts w:ascii="Arial" w:hAnsi="Arial" w:cs="Arial"/>
        </w:rPr>
        <w:t>Das Einlegen, Wechseln und Entfernen transurethraler Katheter sowie der behandlungspflegerische Umgang mit suprapubisc</w:t>
      </w:r>
      <w:r w:rsidR="00AA480B">
        <w:rPr>
          <w:rFonts w:ascii="Arial" w:hAnsi="Arial" w:cs="Arial"/>
        </w:rPr>
        <w:t>hen Harndrainagen bleiben</w:t>
      </w:r>
      <w:r w:rsidRPr="005F4E7E">
        <w:rPr>
          <w:rFonts w:ascii="Arial" w:hAnsi="Arial" w:cs="Arial"/>
        </w:rPr>
        <w:t xml:space="preserve"> examinierten Pflegefachkräften vorbehalten, die mit der Technik und den Erfordernissen der Aseptik und Antiseptik vertraut sind.</w:t>
      </w:r>
    </w:p>
    <w:p w:rsidR="001F5681" w:rsidRPr="00681052" w:rsidRDefault="001F5681" w:rsidP="00347367">
      <w:pPr>
        <w:numPr>
          <w:ilvl w:val="0"/>
          <w:numId w:val="9"/>
        </w:numPr>
        <w:rPr>
          <w:rFonts w:ascii="Arial" w:hAnsi="Arial" w:cs="Arial"/>
          <w:color w:val="000000"/>
        </w:rPr>
      </w:pPr>
      <w:r w:rsidRPr="005F4E7E">
        <w:rPr>
          <w:rFonts w:ascii="Arial" w:hAnsi="Arial" w:cs="Arial"/>
        </w:rPr>
        <w:t xml:space="preserve">Das Anlegen und Wechseln suprapubischer Drainagen </w:t>
      </w:r>
      <w:r w:rsidR="00347367" w:rsidRPr="005F4E7E">
        <w:rPr>
          <w:rFonts w:ascii="Arial" w:hAnsi="Arial" w:cs="Arial"/>
        </w:rPr>
        <w:t xml:space="preserve">soll </w:t>
      </w:r>
      <w:r w:rsidR="005F4E7E" w:rsidRPr="00681052">
        <w:rPr>
          <w:rFonts w:ascii="Arial" w:hAnsi="Arial" w:cs="Arial"/>
          <w:color w:val="000000"/>
        </w:rPr>
        <w:t xml:space="preserve">ärztlicherseits </w:t>
      </w:r>
      <w:r w:rsidR="00347367" w:rsidRPr="00681052">
        <w:rPr>
          <w:rFonts w:ascii="Arial" w:hAnsi="Arial" w:cs="Arial"/>
          <w:color w:val="000000"/>
        </w:rPr>
        <w:t xml:space="preserve">und </w:t>
      </w:r>
      <w:r w:rsidRPr="00681052">
        <w:rPr>
          <w:rFonts w:ascii="Arial" w:hAnsi="Arial" w:cs="Arial"/>
          <w:color w:val="000000"/>
        </w:rPr>
        <w:t>unter klinischen Bedingungen erfolgen.</w:t>
      </w:r>
    </w:p>
    <w:p w:rsidR="001F5681" w:rsidRPr="005F4E7E" w:rsidRDefault="00294781" w:rsidP="001F5681">
      <w:pPr>
        <w:numPr>
          <w:ilvl w:val="0"/>
          <w:numId w:val="9"/>
        </w:numPr>
        <w:rPr>
          <w:rFonts w:ascii="Arial" w:hAnsi="Arial" w:cs="Arial"/>
        </w:rPr>
      </w:pPr>
      <w:r w:rsidRPr="005F4E7E">
        <w:rPr>
          <w:rFonts w:ascii="Arial" w:hAnsi="Arial" w:cs="Arial"/>
        </w:rPr>
        <w:t>Spülungen und Instillationen sind nur</w:t>
      </w:r>
      <w:r w:rsidR="001F5681" w:rsidRPr="005F4E7E">
        <w:rPr>
          <w:rFonts w:ascii="Arial" w:hAnsi="Arial" w:cs="Arial"/>
        </w:rPr>
        <w:t xml:space="preserve"> </w:t>
      </w:r>
      <w:r w:rsidRPr="005F4E7E">
        <w:rPr>
          <w:rFonts w:ascii="Arial" w:hAnsi="Arial" w:cs="Arial"/>
        </w:rPr>
        <w:t>bei spezieller urologischer Indikation,</w:t>
      </w:r>
      <w:r w:rsidR="001F5681" w:rsidRPr="005F4E7E">
        <w:rPr>
          <w:rFonts w:ascii="Arial" w:hAnsi="Arial" w:cs="Arial"/>
        </w:rPr>
        <w:t xml:space="preserve"> </w:t>
      </w:r>
      <w:r w:rsidRPr="005F4E7E">
        <w:rPr>
          <w:rFonts w:ascii="Arial" w:hAnsi="Arial" w:cs="Arial"/>
        </w:rPr>
        <w:t xml:space="preserve">aber nicht zur </w:t>
      </w:r>
      <w:r w:rsidR="001F5681" w:rsidRPr="005F4E7E">
        <w:rPr>
          <w:rFonts w:ascii="Arial" w:hAnsi="Arial" w:cs="Arial"/>
        </w:rPr>
        <w:t>I</w:t>
      </w:r>
      <w:r w:rsidRPr="005F4E7E">
        <w:rPr>
          <w:rFonts w:ascii="Arial" w:hAnsi="Arial" w:cs="Arial"/>
        </w:rPr>
        <w:t>nfektionsprophylaxe</w:t>
      </w:r>
      <w:r w:rsidR="001F5681" w:rsidRPr="005F4E7E">
        <w:rPr>
          <w:rFonts w:ascii="Arial" w:hAnsi="Arial" w:cs="Arial"/>
        </w:rPr>
        <w:t xml:space="preserve"> </w:t>
      </w:r>
      <w:r w:rsidRPr="005F4E7E">
        <w:rPr>
          <w:rFonts w:ascii="Arial" w:hAnsi="Arial" w:cs="Arial"/>
        </w:rPr>
        <w:t>durchzuführen.</w:t>
      </w:r>
    </w:p>
    <w:p w:rsidR="00294781" w:rsidRPr="005F4E7E" w:rsidRDefault="00294781" w:rsidP="001F5681">
      <w:pPr>
        <w:numPr>
          <w:ilvl w:val="0"/>
          <w:numId w:val="9"/>
        </w:numPr>
        <w:rPr>
          <w:rFonts w:ascii="Arial" w:hAnsi="Arial" w:cs="Arial"/>
        </w:rPr>
      </w:pPr>
      <w:r w:rsidRPr="005F4E7E">
        <w:rPr>
          <w:rFonts w:ascii="Arial" w:hAnsi="Arial" w:cs="Arial"/>
        </w:rPr>
        <w:t>Spülungen mit Antiseptika</w:t>
      </w:r>
      <w:r w:rsidR="001F5681" w:rsidRPr="005F4E7E">
        <w:rPr>
          <w:rFonts w:ascii="Arial" w:hAnsi="Arial" w:cs="Arial"/>
        </w:rPr>
        <w:t xml:space="preserve"> </w:t>
      </w:r>
      <w:r w:rsidRPr="005F4E7E">
        <w:rPr>
          <w:rFonts w:ascii="Arial" w:hAnsi="Arial" w:cs="Arial"/>
        </w:rPr>
        <w:t>oder Antibiotika sind obsolet.</w:t>
      </w:r>
    </w:p>
    <w:p w:rsidR="00294781" w:rsidRPr="005F4E7E" w:rsidRDefault="00294781" w:rsidP="001F5681">
      <w:pPr>
        <w:numPr>
          <w:ilvl w:val="0"/>
          <w:numId w:val="9"/>
        </w:numPr>
        <w:rPr>
          <w:rFonts w:ascii="Arial" w:hAnsi="Arial" w:cs="Arial"/>
        </w:rPr>
      </w:pPr>
      <w:r w:rsidRPr="005F4E7E">
        <w:rPr>
          <w:rFonts w:ascii="Arial" w:hAnsi="Arial" w:cs="Arial"/>
        </w:rPr>
        <w:lastRenderedPageBreak/>
        <w:t>Bei länger währender Drainage</w:t>
      </w:r>
      <w:r w:rsidR="001F5681" w:rsidRPr="005F4E7E">
        <w:rPr>
          <w:rFonts w:ascii="Arial" w:hAnsi="Arial" w:cs="Arial"/>
        </w:rPr>
        <w:t xml:space="preserve"> </w:t>
      </w:r>
      <w:r w:rsidRPr="005F4E7E">
        <w:rPr>
          <w:rFonts w:ascii="Arial" w:hAnsi="Arial" w:cs="Arial"/>
        </w:rPr>
        <w:t>(&gt;5 Tage) sollten unter Beachtung der</w:t>
      </w:r>
      <w:r w:rsidR="001F5681" w:rsidRPr="005F4E7E">
        <w:rPr>
          <w:rFonts w:ascii="Arial" w:hAnsi="Arial" w:cs="Arial"/>
        </w:rPr>
        <w:t xml:space="preserve"> </w:t>
      </w:r>
      <w:r w:rsidRPr="005F4E7E">
        <w:rPr>
          <w:rFonts w:ascii="Arial" w:hAnsi="Arial" w:cs="Arial"/>
        </w:rPr>
        <w:t>Kontraindikationen suprapubische Blasenverweilkatheter</w:t>
      </w:r>
      <w:r w:rsidR="001F5681" w:rsidRPr="005F4E7E">
        <w:rPr>
          <w:rFonts w:ascii="Arial" w:hAnsi="Arial" w:cs="Arial"/>
        </w:rPr>
        <w:t xml:space="preserve"> </w:t>
      </w:r>
      <w:r w:rsidRPr="005F4E7E">
        <w:rPr>
          <w:rFonts w:ascii="Arial" w:hAnsi="Arial" w:cs="Arial"/>
        </w:rPr>
        <w:t>bevorzugt werden.</w:t>
      </w:r>
    </w:p>
    <w:p w:rsidR="005F4E7E" w:rsidRPr="005F4E7E" w:rsidRDefault="005F4E7E" w:rsidP="005F4E7E"/>
    <w:p w:rsidR="001F5681" w:rsidRPr="005F4E7E" w:rsidRDefault="001F5681" w:rsidP="00373BF8">
      <w:pPr>
        <w:pStyle w:val="berschrift3"/>
        <w:rPr>
          <w:sz w:val="24"/>
          <w:szCs w:val="24"/>
        </w:rPr>
      </w:pPr>
      <w:r w:rsidRPr="005F4E7E">
        <w:rPr>
          <w:sz w:val="24"/>
          <w:szCs w:val="24"/>
        </w:rPr>
        <w:t>Zu 2. / Personalhygiene</w:t>
      </w:r>
    </w:p>
    <w:p w:rsidR="00347367" w:rsidRPr="005F4E7E" w:rsidRDefault="00347367" w:rsidP="001F5681">
      <w:pPr>
        <w:autoSpaceDE w:val="0"/>
        <w:autoSpaceDN w:val="0"/>
        <w:adjustRightInd w:val="0"/>
        <w:rPr>
          <w:rFonts w:ascii="Arial" w:hAnsi="Arial" w:cs="Arial"/>
        </w:rPr>
      </w:pPr>
      <w:r w:rsidRPr="005F4E7E">
        <w:rPr>
          <w:rFonts w:ascii="Arial" w:hAnsi="Arial" w:cs="Arial"/>
        </w:rPr>
        <w:t xml:space="preserve">Katheterurin ist stets als potentiell infektiös einzustufen und in der Regel stark keimhaltig. Der Umgang </w:t>
      </w:r>
      <w:r w:rsidR="00AA480B">
        <w:rPr>
          <w:rFonts w:ascii="Arial" w:hAnsi="Arial" w:cs="Arial"/>
        </w:rPr>
        <w:t>mit Urin verlangt daher entspre</w:t>
      </w:r>
      <w:r w:rsidRPr="005F4E7E">
        <w:rPr>
          <w:rFonts w:ascii="Arial" w:hAnsi="Arial" w:cs="Arial"/>
        </w:rPr>
        <w:t>chende Maßnahmen des Personal- und Infektionsschutzes:</w:t>
      </w:r>
    </w:p>
    <w:p w:rsidR="00347367" w:rsidRPr="005F4E7E" w:rsidRDefault="00347367" w:rsidP="00347367">
      <w:pPr>
        <w:numPr>
          <w:ilvl w:val="0"/>
          <w:numId w:val="9"/>
        </w:numPr>
        <w:rPr>
          <w:rFonts w:ascii="Arial" w:hAnsi="Arial" w:cs="Arial"/>
        </w:rPr>
      </w:pPr>
      <w:r w:rsidRPr="005F4E7E">
        <w:rPr>
          <w:rFonts w:ascii="Arial" w:hAnsi="Arial" w:cs="Arial"/>
        </w:rPr>
        <w:t>Manipulationen am geschlossenen Harndrainagesystem (z. B. Urinabnahme) erfordern eine streng aseptische Handhabung, sollen auf das notwendige Minimum reduziert werden und erfordern das Tragen von Schutzhandschuhen.</w:t>
      </w:r>
    </w:p>
    <w:p w:rsidR="001F5681" w:rsidRPr="005F4E7E" w:rsidRDefault="001F5681" w:rsidP="00347367">
      <w:pPr>
        <w:numPr>
          <w:ilvl w:val="0"/>
          <w:numId w:val="9"/>
        </w:numPr>
        <w:rPr>
          <w:rFonts w:ascii="Arial" w:hAnsi="Arial" w:cs="Arial"/>
        </w:rPr>
      </w:pPr>
      <w:r w:rsidRPr="005F4E7E">
        <w:rPr>
          <w:rFonts w:ascii="Arial" w:hAnsi="Arial" w:cs="Arial"/>
        </w:rPr>
        <w:t xml:space="preserve">Vor und nach jeder Manipulation am Blasenverweilkatheter oder Harndrainagesystem </w:t>
      </w:r>
      <w:r w:rsidR="00724E75" w:rsidRPr="005F4E7E">
        <w:rPr>
          <w:rFonts w:ascii="Arial" w:hAnsi="Arial" w:cs="Arial"/>
        </w:rPr>
        <w:t xml:space="preserve">bzw. nach dem Ausziehen der Schutzhandschuhe </w:t>
      </w:r>
      <w:r w:rsidRPr="005F4E7E">
        <w:rPr>
          <w:rFonts w:ascii="Arial" w:hAnsi="Arial" w:cs="Arial"/>
        </w:rPr>
        <w:t>ist eine hygienische Händedesinfektion erforderlich.</w:t>
      </w:r>
    </w:p>
    <w:p w:rsidR="005F4E7E" w:rsidRDefault="005F4E7E" w:rsidP="00373BF8">
      <w:pPr>
        <w:pStyle w:val="berschrift3"/>
        <w:rPr>
          <w:sz w:val="24"/>
          <w:szCs w:val="24"/>
        </w:rPr>
      </w:pPr>
    </w:p>
    <w:p w:rsidR="00373BF8" w:rsidRPr="005F4E7E" w:rsidRDefault="00373BF8" w:rsidP="00373BF8">
      <w:pPr>
        <w:pStyle w:val="berschrift3"/>
        <w:rPr>
          <w:sz w:val="24"/>
          <w:szCs w:val="24"/>
        </w:rPr>
      </w:pPr>
      <w:r w:rsidRPr="005F4E7E">
        <w:rPr>
          <w:sz w:val="24"/>
          <w:szCs w:val="24"/>
        </w:rPr>
        <w:t xml:space="preserve">Zu </w:t>
      </w:r>
      <w:r w:rsidR="001F5681" w:rsidRPr="005F4E7E">
        <w:rPr>
          <w:sz w:val="24"/>
          <w:szCs w:val="24"/>
        </w:rPr>
        <w:t>3</w:t>
      </w:r>
      <w:r w:rsidRPr="005F4E7E">
        <w:rPr>
          <w:sz w:val="24"/>
          <w:szCs w:val="24"/>
        </w:rPr>
        <w:t>./ Einlegen, Wechseln und Entfernen transurethraler Katheter</w:t>
      </w:r>
    </w:p>
    <w:p w:rsidR="001D0EC6" w:rsidRPr="005F4E7E" w:rsidRDefault="001D0EC6" w:rsidP="006810AC">
      <w:pPr>
        <w:numPr>
          <w:ilvl w:val="0"/>
          <w:numId w:val="11"/>
        </w:numPr>
        <w:rPr>
          <w:rFonts w:ascii="Arial" w:hAnsi="Arial" w:cs="Arial"/>
        </w:rPr>
      </w:pPr>
      <w:r w:rsidRPr="005F4E7E">
        <w:rPr>
          <w:rFonts w:ascii="Arial" w:hAnsi="Arial" w:cs="Arial"/>
        </w:rPr>
        <w:t>Bei einer zu erwartenden Katheter-Liegezeit von &lt;=5 Tg. und Ausschluss einer Latex-Allergie können Latex-Katheter</w:t>
      </w:r>
      <w:r w:rsidR="00C55993" w:rsidRPr="005F4E7E">
        <w:rPr>
          <w:rFonts w:ascii="Arial" w:hAnsi="Arial" w:cs="Arial"/>
        </w:rPr>
        <w:t xml:space="preserve"> verwendet werden,</w:t>
      </w:r>
      <w:r w:rsidRPr="005F4E7E">
        <w:rPr>
          <w:rFonts w:ascii="Arial" w:hAnsi="Arial" w:cs="Arial"/>
        </w:rPr>
        <w:t xml:space="preserve"> ansonsten sollen Silikon-Kath</w:t>
      </w:r>
      <w:r w:rsidR="00C55993" w:rsidRPr="005F4E7E">
        <w:rPr>
          <w:rFonts w:ascii="Arial" w:hAnsi="Arial" w:cs="Arial"/>
        </w:rPr>
        <w:t>e</w:t>
      </w:r>
      <w:r w:rsidRPr="005F4E7E">
        <w:rPr>
          <w:rFonts w:ascii="Arial" w:hAnsi="Arial" w:cs="Arial"/>
        </w:rPr>
        <w:t xml:space="preserve">ter </w:t>
      </w:r>
      <w:r w:rsidR="00C55993" w:rsidRPr="005F4E7E">
        <w:rPr>
          <w:rFonts w:ascii="Arial" w:hAnsi="Arial" w:cs="Arial"/>
        </w:rPr>
        <w:t xml:space="preserve">benutzt </w:t>
      </w:r>
      <w:r w:rsidRPr="005F4E7E">
        <w:rPr>
          <w:rFonts w:ascii="Arial" w:hAnsi="Arial" w:cs="Arial"/>
        </w:rPr>
        <w:t>werden.</w:t>
      </w:r>
    </w:p>
    <w:p w:rsidR="00347367" w:rsidRPr="005F4E7E" w:rsidRDefault="00347367" w:rsidP="006810AC">
      <w:pPr>
        <w:numPr>
          <w:ilvl w:val="0"/>
          <w:numId w:val="11"/>
        </w:numPr>
        <w:rPr>
          <w:rFonts w:ascii="Arial" w:hAnsi="Arial" w:cs="Arial"/>
        </w:rPr>
      </w:pPr>
      <w:r w:rsidRPr="005F4E7E">
        <w:rPr>
          <w:rFonts w:ascii="Arial" w:hAnsi="Arial" w:cs="Arial"/>
        </w:rPr>
        <w:t>Es dürfen nur sterile, geschlossene Ableitungssysteme eingesetzt werden. Je nach Mobilität und Selbständigk</w:t>
      </w:r>
      <w:r w:rsidR="001D0EC6" w:rsidRPr="005F4E7E">
        <w:rPr>
          <w:rFonts w:ascii="Arial" w:hAnsi="Arial" w:cs="Arial"/>
        </w:rPr>
        <w:t>eit ist zu entscheiden, ob ein B</w:t>
      </w:r>
      <w:r w:rsidRPr="005F4E7E">
        <w:rPr>
          <w:rFonts w:ascii="Arial" w:hAnsi="Arial" w:cs="Arial"/>
        </w:rPr>
        <w:t>ettbeutel, Beinbeutel oder ein kombinierter Beutel („Day &amp; Night-Beutel“) zu verwenden ist.</w:t>
      </w:r>
    </w:p>
    <w:p w:rsidR="001D0EC6" w:rsidRPr="005F4E7E" w:rsidRDefault="001D0EC6" w:rsidP="001D0EC6">
      <w:pPr>
        <w:numPr>
          <w:ilvl w:val="0"/>
          <w:numId w:val="11"/>
        </w:numPr>
        <w:rPr>
          <w:rFonts w:ascii="Arial" w:hAnsi="Arial" w:cs="Arial"/>
        </w:rPr>
      </w:pPr>
      <w:r w:rsidRPr="005F4E7E">
        <w:rPr>
          <w:rFonts w:ascii="Arial" w:hAnsi="Arial" w:cs="Arial"/>
        </w:rPr>
        <w:t>Die Anlage des Katheters muss unter aseptischen Bedingungen von geschultem Personal möglichst mithilfe eines Katheterisierungssets durchgeführt werden.</w:t>
      </w:r>
    </w:p>
    <w:p w:rsidR="006810AC" w:rsidRPr="005F4E7E" w:rsidRDefault="00347367" w:rsidP="006810AC">
      <w:pPr>
        <w:numPr>
          <w:ilvl w:val="0"/>
          <w:numId w:val="11"/>
        </w:numPr>
        <w:rPr>
          <w:rFonts w:ascii="Arial" w:hAnsi="Arial" w:cs="Arial"/>
        </w:rPr>
      </w:pPr>
      <w:r w:rsidRPr="005F4E7E">
        <w:rPr>
          <w:rFonts w:ascii="Arial" w:hAnsi="Arial" w:cs="Arial"/>
        </w:rPr>
        <w:t>Vor der sorgfältigen Vorbereitung aller benötigten Materialien müssen die Hän</w:t>
      </w:r>
      <w:r w:rsidR="006810AC" w:rsidRPr="005F4E7E">
        <w:rPr>
          <w:rFonts w:ascii="Arial" w:hAnsi="Arial" w:cs="Arial"/>
        </w:rPr>
        <w:t>de desinfiziert werden</w:t>
      </w:r>
      <w:r w:rsidRPr="005F4E7E">
        <w:rPr>
          <w:rFonts w:ascii="Arial" w:hAnsi="Arial" w:cs="Arial"/>
        </w:rPr>
        <w:t>.</w:t>
      </w:r>
    </w:p>
    <w:p w:rsidR="006810AC" w:rsidRPr="005F4E7E" w:rsidRDefault="00347367" w:rsidP="006810AC">
      <w:pPr>
        <w:numPr>
          <w:ilvl w:val="0"/>
          <w:numId w:val="11"/>
        </w:numPr>
        <w:rPr>
          <w:rFonts w:ascii="Arial" w:hAnsi="Arial" w:cs="Arial"/>
        </w:rPr>
      </w:pPr>
      <w:r w:rsidRPr="005F4E7E">
        <w:rPr>
          <w:rFonts w:ascii="Arial" w:hAnsi="Arial" w:cs="Arial"/>
        </w:rPr>
        <w:t>Die Schleimhautantiseptik erfolgt mit</w:t>
      </w:r>
      <w:r w:rsidR="006810AC" w:rsidRPr="005F4E7E">
        <w:rPr>
          <w:rFonts w:ascii="Arial" w:hAnsi="Arial" w:cs="Arial"/>
        </w:rPr>
        <w:t xml:space="preserve"> </w:t>
      </w:r>
      <w:r w:rsidRPr="005F4E7E">
        <w:rPr>
          <w:rFonts w:ascii="Arial" w:hAnsi="Arial" w:cs="Arial"/>
        </w:rPr>
        <w:t>sterilen Tupfern und einem geeigneten</w:t>
      </w:r>
      <w:r w:rsidR="006810AC" w:rsidRPr="005F4E7E">
        <w:rPr>
          <w:rFonts w:ascii="Arial" w:hAnsi="Arial" w:cs="Arial"/>
        </w:rPr>
        <w:t xml:space="preserve"> </w:t>
      </w:r>
      <w:r w:rsidRPr="005F4E7E">
        <w:rPr>
          <w:rFonts w:ascii="Arial" w:hAnsi="Arial" w:cs="Arial"/>
        </w:rPr>
        <w:t>Schleimhautantiseptikum</w:t>
      </w:r>
      <w:r w:rsidR="00AA480B">
        <w:rPr>
          <w:rFonts w:ascii="Arial" w:hAnsi="Arial" w:cs="Arial"/>
        </w:rPr>
        <w:t>,</w:t>
      </w:r>
      <w:r w:rsidRPr="005F4E7E">
        <w:rPr>
          <w:rFonts w:ascii="Arial" w:hAnsi="Arial" w:cs="Arial"/>
        </w:rPr>
        <w:t xml:space="preserve"> z. B. auf</w:t>
      </w:r>
      <w:r w:rsidR="006810AC" w:rsidRPr="005F4E7E">
        <w:rPr>
          <w:rFonts w:ascii="Arial" w:hAnsi="Arial" w:cs="Arial"/>
        </w:rPr>
        <w:t xml:space="preserve"> </w:t>
      </w:r>
      <w:r w:rsidRPr="005F4E7E">
        <w:rPr>
          <w:rFonts w:ascii="Arial" w:hAnsi="Arial" w:cs="Arial"/>
        </w:rPr>
        <w:t>Basis von PVP-Iod oder Octenidin.</w:t>
      </w:r>
    </w:p>
    <w:p w:rsidR="006810AC" w:rsidRPr="005F4E7E" w:rsidRDefault="00347367" w:rsidP="006810AC">
      <w:pPr>
        <w:numPr>
          <w:ilvl w:val="0"/>
          <w:numId w:val="11"/>
        </w:numPr>
        <w:rPr>
          <w:rFonts w:ascii="Arial" w:hAnsi="Arial" w:cs="Arial"/>
        </w:rPr>
      </w:pPr>
      <w:r w:rsidRPr="005F4E7E">
        <w:rPr>
          <w:rFonts w:ascii="Arial" w:hAnsi="Arial" w:cs="Arial"/>
        </w:rPr>
        <w:t>Nach Auflegen eines sterilen Schlitztuches</w:t>
      </w:r>
      <w:r w:rsidR="006810AC" w:rsidRPr="005F4E7E">
        <w:rPr>
          <w:rFonts w:ascii="Arial" w:hAnsi="Arial" w:cs="Arial"/>
        </w:rPr>
        <w:t xml:space="preserve"> </w:t>
      </w:r>
      <w:r w:rsidRPr="005F4E7E">
        <w:rPr>
          <w:rFonts w:ascii="Arial" w:hAnsi="Arial" w:cs="Arial"/>
        </w:rPr>
        <w:t>wird steriles Gleitmittel instilliert</w:t>
      </w:r>
      <w:r w:rsidR="006810AC" w:rsidRPr="005F4E7E">
        <w:rPr>
          <w:rFonts w:ascii="Arial" w:hAnsi="Arial" w:cs="Arial"/>
        </w:rPr>
        <w:t xml:space="preserve"> </w:t>
      </w:r>
      <w:r w:rsidRPr="005F4E7E">
        <w:rPr>
          <w:rFonts w:ascii="Arial" w:hAnsi="Arial" w:cs="Arial"/>
        </w:rPr>
        <w:t>und der Blasenkatheter vorsichtig</w:t>
      </w:r>
      <w:r w:rsidR="006810AC" w:rsidRPr="005F4E7E">
        <w:rPr>
          <w:rFonts w:ascii="Arial" w:hAnsi="Arial" w:cs="Arial"/>
        </w:rPr>
        <w:t xml:space="preserve"> </w:t>
      </w:r>
      <w:r w:rsidRPr="005F4E7E">
        <w:rPr>
          <w:rFonts w:ascii="Arial" w:hAnsi="Arial" w:cs="Arial"/>
        </w:rPr>
        <w:t>unter sterilen Bedingungen (einschl.</w:t>
      </w:r>
      <w:r w:rsidR="006810AC" w:rsidRPr="005F4E7E">
        <w:rPr>
          <w:rFonts w:ascii="Arial" w:hAnsi="Arial" w:cs="Arial"/>
        </w:rPr>
        <w:t xml:space="preserve"> </w:t>
      </w:r>
      <w:r w:rsidRPr="005F4E7E">
        <w:rPr>
          <w:rFonts w:ascii="Arial" w:hAnsi="Arial" w:cs="Arial"/>
        </w:rPr>
        <w:t>Pinzette, Handschuhe) eingeführt.</w:t>
      </w:r>
    </w:p>
    <w:p w:rsidR="006810AC" w:rsidRPr="005F4E7E" w:rsidRDefault="00347367" w:rsidP="006810AC">
      <w:pPr>
        <w:numPr>
          <w:ilvl w:val="0"/>
          <w:numId w:val="11"/>
        </w:numPr>
        <w:rPr>
          <w:rFonts w:ascii="Arial" w:hAnsi="Arial" w:cs="Arial"/>
        </w:rPr>
      </w:pPr>
      <w:r w:rsidRPr="005F4E7E">
        <w:rPr>
          <w:rFonts w:ascii="Arial" w:hAnsi="Arial" w:cs="Arial"/>
        </w:rPr>
        <w:t>Das Blocken des Ballons erfolgt mit</w:t>
      </w:r>
      <w:r w:rsidR="006810AC" w:rsidRPr="005F4E7E">
        <w:rPr>
          <w:rFonts w:ascii="Arial" w:hAnsi="Arial" w:cs="Arial"/>
        </w:rPr>
        <w:t xml:space="preserve"> </w:t>
      </w:r>
      <w:r w:rsidRPr="005F4E7E">
        <w:rPr>
          <w:rFonts w:ascii="Arial" w:hAnsi="Arial" w:cs="Arial"/>
        </w:rPr>
        <w:t>sterilem Aqua dest. oder vorzugsweise</w:t>
      </w:r>
      <w:r w:rsidR="006810AC" w:rsidRPr="005F4E7E">
        <w:rPr>
          <w:rFonts w:ascii="Arial" w:hAnsi="Arial" w:cs="Arial"/>
        </w:rPr>
        <w:t xml:space="preserve"> </w:t>
      </w:r>
      <w:r w:rsidRPr="005F4E7E">
        <w:rPr>
          <w:rFonts w:ascii="Arial" w:hAnsi="Arial" w:cs="Arial"/>
        </w:rPr>
        <w:t xml:space="preserve">mit einer sterilen 8- bis </w:t>
      </w:r>
      <w:r w:rsidR="006810AC" w:rsidRPr="005F4E7E">
        <w:rPr>
          <w:rFonts w:ascii="Arial" w:hAnsi="Arial" w:cs="Arial"/>
        </w:rPr>
        <w:t>1</w:t>
      </w:r>
      <w:r w:rsidRPr="005F4E7E">
        <w:rPr>
          <w:rFonts w:ascii="Arial" w:hAnsi="Arial" w:cs="Arial"/>
        </w:rPr>
        <w:t>0%igen Glycerin-</w:t>
      </w:r>
      <w:r w:rsidR="006810AC" w:rsidRPr="005F4E7E">
        <w:rPr>
          <w:rFonts w:ascii="Arial" w:hAnsi="Arial" w:cs="Arial"/>
        </w:rPr>
        <w:t xml:space="preserve"> </w:t>
      </w:r>
      <w:r w:rsidRPr="005F4E7E">
        <w:rPr>
          <w:rFonts w:ascii="Arial" w:hAnsi="Arial" w:cs="Arial"/>
        </w:rPr>
        <w:t>Wasserlösung (nicht mit NaCl</w:t>
      </w:r>
      <w:r w:rsidR="006810AC" w:rsidRPr="005F4E7E">
        <w:rPr>
          <w:rFonts w:ascii="Arial" w:hAnsi="Arial" w:cs="Arial"/>
        </w:rPr>
        <w:t xml:space="preserve"> oder Leitungswasser)</w:t>
      </w:r>
      <w:r w:rsidRPr="005F4E7E">
        <w:rPr>
          <w:rFonts w:ascii="Arial" w:hAnsi="Arial" w:cs="Arial"/>
        </w:rPr>
        <w:t>.</w:t>
      </w:r>
    </w:p>
    <w:p w:rsidR="00347367" w:rsidRPr="005F4E7E" w:rsidRDefault="00347367" w:rsidP="006810AC">
      <w:pPr>
        <w:numPr>
          <w:ilvl w:val="0"/>
          <w:numId w:val="11"/>
        </w:numPr>
        <w:rPr>
          <w:rFonts w:ascii="Arial" w:hAnsi="Arial" w:cs="Arial"/>
        </w:rPr>
      </w:pPr>
      <w:r w:rsidRPr="005F4E7E">
        <w:rPr>
          <w:rFonts w:ascii="Arial" w:hAnsi="Arial" w:cs="Arial"/>
        </w:rPr>
        <w:t>Danach erfolgen der Anschluss eines</w:t>
      </w:r>
      <w:r w:rsidR="006810AC" w:rsidRPr="005F4E7E">
        <w:rPr>
          <w:rFonts w:ascii="Arial" w:hAnsi="Arial" w:cs="Arial"/>
        </w:rPr>
        <w:t xml:space="preserve"> </w:t>
      </w:r>
      <w:r w:rsidRPr="005F4E7E">
        <w:rPr>
          <w:rFonts w:ascii="Arial" w:hAnsi="Arial" w:cs="Arial"/>
        </w:rPr>
        <w:t>geschlossenen Drainagesystems mit</w:t>
      </w:r>
      <w:r w:rsidR="006810AC" w:rsidRPr="005F4E7E">
        <w:rPr>
          <w:rFonts w:ascii="Arial" w:hAnsi="Arial" w:cs="Arial"/>
        </w:rPr>
        <w:t xml:space="preserve"> </w:t>
      </w:r>
      <w:r w:rsidRPr="005F4E7E">
        <w:rPr>
          <w:rFonts w:ascii="Arial" w:hAnsi="Arial" w:cs="Arial"/>
        </w:rPr>
        <w:t>Rückflussventil und die sichere Fixation.</w:t>
      </w:r>
    </w:p>
    <w:p w:rsidR="005F4E7E" w:rsidRPr="005F4E7E" w:rsidRDefault="005F4E7E" w:rsidP="005F4E7E"/>
    <w:p w:rsidR="00373BF8" w:rsidRPr="005F4E7E" w:rsidRDefault="001F5681" w:rsidP="00373BF8">
      <w:pPr>
        <w:pStyle w:val="berschrift3"/>
        <w:rPr>
          <w:sz w:val="24"/>
          <w:szCs w:val="24"/>
        </w:rPr>
      </w:pPr>
      <w:r w:rsidRPr="005F4E7E">
        <w:rPr>
          <w:sz w:val="24"/>
          <w:szCs w:val="24"/>
        </w:rPr>
        <w:t>Zu 4</w:t>
      </w:r>
      <w:r w:rsidR="00373BF8" w:rsidRPr="005F4E7E">
        <w:rPr>
          <w:sz w:val="24"/>
          <w:szCs w:val="24"/>
        </w:rPr>
        <w:t>: / Umgang mit transurethralen Kathetern</w:t>
      </w:r>
    </w:p>
    <w:p w:rsidR="00724E75" w:rsidRPr="005F4E7E" w:rsidRDefault="00724E75" w:rsidP="00724E75">
      <w:pPr>
        <w:numPr>
          <w:ilvl w:val="0"/>
          <w:numId w:val="14"/>
        </w:numPr>
        <w:rPr>
          <w:rFonts w:ascii="Arial" w:hAnsi="Arial" w:cs="Arial"/>
        </w:rPr>
      </w:pPr>
      <w:r w:rsidRPr="005F4E7E">
        <w:rPr>
          <w:rFonts w:ascii="Arial" w:hAnsi="Arial" w:cs="Arial"/>
        </w:rPr>
        <w:t>Die Reinigung des Genitale bei liegendem Katheter erfolgt im Rahmen der üblichen Grundpflege mit Wasser und Seife, ohne hierbei Zug auf den Katheter auszuüben. Mobile Bewohner sollten dies möglichst selbst ausführen. Bei pflegerischer Übernahme sind hierzu Schutzhandschuhe zu tragen.</w:t>
      </w:r>
    </w:p>
    <w:p w:rsidR="00724E75" w:rsidRPr="005F4E7E" w:rsidRDefault="00724E75" w:rsidP="00724E75">
      <w:pPr>
        <w:numPr>
          <w:ilvl w:val="0"/>
          <w:numId w:val="14"/>
        </w:numPr>
        <w:rPr>
          <w:rFonts w:ascii="Arial" w:hAnsi="Arial" w:cs="Arial"/>
        </w:rPr>
      </w:pPr>
      <w:r w:rsidRPr="005F4E7E">
        <w:rPr>
          <w:rFonts w:ascii="Arial" w:hAnsi="Arial" w:cs="Arial"/>
        </w:rPr>
        <w:t>Im Zuge der Reinigung bzw. täglich (bei eigenständiger Versorgung durch den Bewohner) ist zu überprüfen, ob der Katheter intakt, in korrekter Position, durchgängig und frei von Inkrustrationen ist. Eine geringe Absonderung von Schleim an der Harnröhrenöffnung ist normal.</w:t>
      </w:r>
    </w:p>
    <w:p w:rsidR="00724E75" w:rsidRPr="005F4E7E" w:rsidRDefault="00724E75" w:rsidP="00724E75">
      <w:pPr>
        <w:numPr>
          <w:ilvl w:val="0"/>
          <w:numId w:val="14"/>
        </w:numPr>
        <w:rPr>
          <w:rFonts w:ascii="Arial" w:hAnsi="Arial" w:cs="Arial"/>
        </w:rPr>
      </w:pPr>
      <w:r w:rsidRPr="005F4E7E">
        <w:rPr>
          <w:rFonts w:ascii="Arial" w:hAnsi="Arial" w:cs="Arial"/>
        </w:rPr>
        <w:lastRenderedPageBreak/>
        <w:t>Wenn allgemeine Infektionszeichen wie Fieber, Schmerzen, übelriechende und/oder massive Sekretabsonderungen, trüber und/oder übelriechender Urin festzustellen sind  oder wenn der Katheter nicht mehr funktionsfähig erscheint</w:t>
      </w:r>
      <w:r w:rsidR="00C55993" w:rsidRPr="005F4E7E">
        <w:rPr>
          <w:rFonts w:ascii="Arial" w:hAnsi="Arial" w:cs="Arial"/>
        </w:rPr>
        <w:t>,</w:t>
      </w:r>
      <w:r w:rsidRPr="005F4E7E">
        <w:rPr>
          <w:rFonts w:ascii="Arial" w:hAnsi="Arial" w:cs="Arial"/>
        </w:rPr>
        <w:t xml:space="preserve"> ist eine baldige ärztliche Abklärung bzw. ein Wechsel des Katheters zu veranlassen. </w:t>
      </w:r>
    </w:p>
    <w:p w:rsidR="005F4E7E" w:rsidRPr="005F4E7E" w:rsidRDefault="005F4E7E" w:rsidP="005F4E7E"/>
    <w:p w:rsidR="00373BF8" w:rsidRPr="005F4E7E" w:rsidRDefault="001F5681" w:rsidP="00724E75">
      <w:pPr>
        <w:pStyle w:val="berschrift3"/>
        <w:rPr>
          <w:sz w:val="24"/>
          <w:szCs w:val="24"/>
        </w:rPr>
      </w:pPr>
      <w:r w:rsidRPr="005F4E7E">
        <w:rPr>
          <w:sz w:val="24"/>
          <w:szCs w:val="24"/>
        </w:rPr>
        <w:t>Zu 5</w:t>
      </w:r>
      <w:r w:rsidR="002C2196" w:rsidRPr="005F4E7E">
        <w:rPr>
          <w:sz w:val="24"/>
          <w:szCs w:val="24"/>
        </w:rPr>
        <w:t>. / U</w:t>
      </w:r>
      <w:r w:rsidR="00373BF8" w:rsidRPr="005F4E7E">
        <w:rPr>
          <w:sz w:val="24"/>
          <w:szCs w:val="24"/>
        </w:rPr>
        <w:t>mgang mit suprapubischen Drainagen</w:t>
      </w:r>
    </w:p>
    <w:p w:rsidR="006810AC" w:rsidRPr="005F4E7E" w:rsidRDefault="006810AC" w:rsidP="006810AC">
      <w:pPr>
        <w:numPr>
          <w:ilvl w:val="0"/>
          <w:numId w:val="12"/>
        </w:numPr>
        <w:rPr>
          <w:rFonts w:ascii="Arial" w:hAnsi="Arial" w:cs="Arial"/>
        </w:rPr>
      </w:pPr>
      <w:r w:rsidRPr="005F4E7E">
        <w:rPr>
          <w:rFonts w:ascii="Arial" w:hAnsi="Arial" w:cs="Arial"/>
        </w:rPr>
        <w:t xml:space="preserve">Ein aseptischer Verbandwechsel an der Einstichstelle erfolgt am ersten Tag nach dem Einlegen möglichst </w:t>
      </w:r>
      <w:r w:rsidR="005F4E7E" w:rsidRPr="00681052">
        <w:rPr>
          <w:rFonts w:ascii="Arial" w:hAnsi="Arial" w:cs="Arial"/>
          <w:color w:val="000000"/>
        </w:rPr>
        <w:t>ärztlicherseits</w:t>
      </w:r>
      <w:r w:rsidRPr="005F4E7E">
        <w:rPr>
          <w:rFonts w:ascii="Arial" w:hAnsi="Arial" w:cs="Arial"/>
        </w:rPr>
        <w:t>. Wenn danach weitere Verbandwechsel notwendig sind (meist für ca. eine Woche)</w:t>
      </w:r>
      <w:r w:rsidR="00AA480B">
        <w:rPr>
          <w:rFonts w:ascii="Arial" w:hAnsi="Arial" w:cs="Arial"/>
        </w:rPr>
        <w:t>,</w:t>
      </w:r>
      <w:r w:rsidRPr="005F4E7E">
        <w:rPr>
          <w:rFonts w:ascii="Arial" w:hAnsi="Arial" w:cs="Arial"/>
        </w:rPr>
        <w:t xml:space="preserve"> erfolgt dies im Sinne eines aseptisch durchzuführenden Verbandwechsels.</w:t>
      </w:r>
    </w:p>
    <w:p w:rsidR="006810AC" w:rsidRPr="005F4E7E" w:rsidRDefault="006810AC" w:rsidP="006810AC">
      <w:pPr>
        <w:numPr>
          <w:ilvl w:val="0"/>
          <w:numId w:val="12"/>
        </w:numPr>
        <w:rPr>
          <w:rFonts w:ascii="Arial" w:hAnsi="Arial" w:cs="Arial"/>
        </w:rPr>
      </w:pPr>
      <w:r w:rsidRPr="005F4E7E">
        <w:rPr>
          <w:rFonts w:ascii="Arial" w:hAnsi="Arial" w:cs="Arial"/>
        </w:rPr>
        <w:t>Wenn die Einstichstelle nicht mehr se</w:t>
      </w:r>
      <w:r w:rsidR="00522153">
        <w:rPr>
          <w:rFonts w:ascii="Arial" w:hAnsi="Arial" w:cs="Arial"/>
        </w:rPr>
        <w:t>zerniert</w:t>
      </w:r>
      <w:r w:rsidRPr="005F4E7E">
        <w:rPr>
          <w:rFonts w:ascii="Arial" w:hAnsi="Arial" w:cs="Arial"/>
        </w:rPr>
        <w:t xml:space="preserve"> und frei von Entzündungszeichen ist</w:t>
      </w:r>
      <w:r w:rsidR="00C55993" w:rsidRPr="005F4E7E">
        <w:rPr>
          <w:rFonts w:ascii="Arial" w:hAnsi="Arial" w:cs="Arial"/>
        </w:rPr>
        <w:t>,</w:t>
      </w:r>
      <w:r w:rsidRPr="005F4E7E">
        <w:rPr>
          <w:rFonts w:ascii="Arial" w:hAnsi="Arial" w:cs="Arial"/>
        </w:rPr>
        <w:t xml:space="preserve"> kann sie offen gelassen und innerhalb der Körperpflege mit einem frischen Waschlappen und frischem Wasser gereinigt werden.</w:t>
      </w:r>
    </w:p>
    <w:p w:rsidR="00724E75" w:rsidRPr="005F4E7E" w:rsidRDefault="006810AC" w:rsidP="00724E75">
      <w:pPr>
        <w:numPr>
          <w:ilvl w:val="0"/>
          <w:numId w:val="12"/>
        </w:numPr>
        <w:rPr>
          <w:rFonts w:ascii="Arial" w:hAnsi="Arial" w:cs="Arial"/>
        </w:rPr>
      </w:pPr>
      <w:r w:rsidRPr="005F4E7E">
        <w:rPr>
          <w:rFonts w:ascii="Arial" w:hAnsi="Arial" w:cs="Arial"/>
        </w:rPr>
        <w:t>Mehrmals täglich und in Verbindung mit dem Verbandwechsel bzw. der Reinigung ist darauf zu achten, dass der Drainageschlauch freigängig bleibt.</w:t>
      </w:r>
    </w:p>
    <w:p w:rsidR="006810AC" w:rsidRPr="005F4E7E" w:rsidRDefault="006810AC" w:rsidP="00724E75">
      <w:pPr>
        <w:numPr>
          <w:ilvl w:val="0"/>
          <w:numId w:val="12"/>
        </w:numPr>
        <w:rPr>
          <w:rFonts w:ascii="Arial" w:hAnsi="Arial" w:cs="Arial"/>
        </w:rPr>
      </w:pPr>
      <w:r w:rsidRPr="005F4E7E">
        <w:rPr>
          <w:rFonts w:ascii="Arial" w:hAnsi="Arial" w:cs="Arial"/>
        </w:rPr>
        <w:t>Die Einstichstelle ist täglich auf Veränderungen</w:t>
      </w:r>
      <w:r w:rsidR="00AA480B">
        <w:rPr>
          <w:rFonts w:ascii="Arial" w:hAnsi="Arial" w:cs="Arial"/>
        </w:rPr>
        <w:t>,</w:t>
      </w:r>
      <w:r w:rsidRPr="005F4E7E">
        <w:rPr>
          <w:rFonts w:ascii="Arial" w:hAnsi="Arial" w:cs="Arial"/>
        </w:rPr>
        <w:t xml:space="preserve"> insbesondere auf Infektionszeichen, wie Rötung, Schwellung, Schmerz und Sekretbildung zu überprüfen. Im Zuge dessen wird überprüft, ob die Drainage frei von Abknickungen, Verstopfungen, Inkrustationen und Materialschäden ist. Be</w:t>
      </w:r>
      <w:r w:rsidR="00AA480B">
        <w:rPr>
          <w:rFonts w:ascii="Arial" w:hAnsi="Arial" w:cs="Arial"/>
        </w:rPr>
        <w:t>i Auffälligkeiten dieser Art sind</w:t>
      </w:r>
      <w:r w:rsidRPr="005F4E7E">
        <w:rPr>
          <w:rFonts w:ascii="Arial" w:hAnsi="Arial" w:cs="Arial"/>
        </w:rPr>
        <w:t xml:space="preserve"> eine baldige ärztliche Abklärung und ggf. ein (klinisch durchzuführender</w:t>
      </w:r>
      <w:r w:rsidR="00AA480B">
        <w:rPr>
          <w:rFonts w:ascii="Arial" w:hAnsi="Arial" w:cs="Arial"/>
        </w:rPr>
        <w:t>) Wechsel</w:t>
      </w:r>
      <w:r w:rsidRPr="005F4E7E">
        <w:rPr>
          <w:rFonts w:ascii="Arial" w:hAnsi="Arial" w:cs="Arial"/>
        </w:rPr>
        <w:t xml:space="preserve"> der Drainage zu veranlassen.</w:t>
      </w:r>
    </w:p>
    <w:p w:rsidR="00522153" w:rsidRDefault="00522153" w:rsidP="00373BF8">
      <w:pPr>
        <w:pStyle w:val="berschrift3"/>
        <w:rPr>
          <w:sz w:val="24"/>
          <w:szCs w:val="24"/>
        </w:rPr>
      </w:pPr>
    </w:p>
    <w:p w:rsidR="00373BF8" w:rsidRPr="005F4E7E" w:rsidRDefault="001F5681" w:rsidP="00373BF8">
      <w:pPr>
        <w:pStyle w:val="berschrift3"/>
        <w:rPr>
          <w:sz w:val="24"/>
          <w:szCs w:val="24"/>
        </w:rPr>
      </w:pPr>
      <w:r w:rsidRPr="005F4E7E">
        <w:rPr>
          <w:sz w:val="24"/>
          <w:szCs w:val="24"/>
        </w:rPr>
        <w:t>Zu 6</w:t>
      </w:r>
      <w:r w:rsidR="00373BF8" w:rsidRPr="005F4E7E">
        <w:rPr>
          <w:sz w:val="24"/>
          <w:szCs w:val="24"/>
        </w:rPr>
        <w:t>. / Umgang mit Harnableitungssystemen</w:t>
      </w:r>
    </w:p>
    <w:p w:rsidR="00724E75" w:rsidRPr="005F4E7E" w:rsidRDefault="00724E75" w:rsidP="00724E75">
      <w:pPr>
        <w:numPr>
          <w:ilvl w:val="0"/>
          <w:numId w:val="13"/>
        </w:numPr>
        <w:rPr>
          <w:rFonts w:ascii="Arial" w:hAnsi="Arial" w:cs="Arial"/>
        </w:rPr>
      </w:pPr>
      <w:r w:rsidRPr="005F4E7E">
        <w:rPr>
          <w:rFonts w:ascii="Arial" w:hAnsi="Arial" w:cs="Arial"/>
        </w:rPr>
        <w:t>Kein intermittierendes Abklemmen des Katheters (sog. Blasentraining). Um den Harnabfluss zu sichern, muss ein Abknicken von Katheter und Ableitungssystem vermieden werden.</w:t>
      </w:r>
    </w:p>
    <w:p w:rsidR="00724E75" w:rsidRPr="005F4E7E" w:rsidRDefault="00724E75" w:rsidP="00724E75">
      <w:pPr>
        <w:numPr>
          <w:ilvl w:val="0"/>
          <w:numId w:val="13"/>
        </w:numPr>
        <w:rPr>
          <w:rFonts w:ascii="Arial" w:hAnsi="Arial" w:cs="Arial"/>
        </w:rPr>
      </w:pPr>
      <w:r w:rsidRPr="005F4E7E">
        <w:rPr>
          <w:rFonts w:ascii="Arial" w:hAnsi="Arial" w:cs="Arial"/>
        </w:rPr>
        <w:t>Der Auffangbeutel muss immer freihängend ohne Bodenkontakt unter Blasenniveau positioniert sein.</w:t>
      </w:r>
    </w:p>
    <w:p w:rsidR="00724E75" w:rsidRPr="005F4E7E" w:rsidRDefault="00724E75" w:rsidP="00724E75">
      <w:pPr>
        <w:numPr>
          <w:ilvl w:val="0"/>
          <w:numId w:val="13"/>
        </w:numPr>
        <w:rPr>
          <w:rFonts w:ascii="Arial" w:hAnsi="Arial" w:cs="Arial"/>
        </w:rPr>
      </w:pPr>
      <w:r w:rsidRPr="005F4E7E">
        <w:rPr>
          <w:rFonts w:ascii="Arial" w:hAnsi="Arial" w:cs="Arial"/>
        </w:rPr>
        <w:t>Der Katheter und der Drainageschlauch sollten nicht diskonnektiert werden.</w:t>
      </w:r>
    </w:p>
    <w:p w:rsidR="00724E75" w:rsidRPr="005F4E7E" w:rsidRDefault="00724E75" w:rsidP="00724E75">
      <w:pPr>
        <w:numPr>
          <w:ilvl w:val="0"/>
          <w:numId w:val="13"/>
        </w:numPr>
        <w:rPr>
          <w:rFonts w:ascii="Arial" w:hAnsi="Arial" w:cs="Arial"/>
        </w:rPr>
      </w:pPr>
      <w:r w:rsidRPr="005F4E7E">
        <w:rPr>
          <w:rFonts w:ascii="Arial" w:hAnsi="Arial" w:cs="Arial"/>
        </w:rPr>
        <w:t>Ist eine Diskonnektion nicht zu vermeiden (bzw. nach versehentlicher kurzzeitiger Diskonnektion), ist kein Wechsel von Katheter oder Drainagesystem erforderlich. Die erneute Verbindung von Katheter und Konus des Drainageschlauchs darf nur unter aseptischen Kautelen nach Wischdesinfektion mit einem alkoholischen Präparat wieder zusammengefügt werden (Kat. IB).</w:t>
      </w:r>
    </w:p>
    <w:p w:rsidR="00724E75" w:rsidRPr="005F4E7E" w:rsidRDefault="00724E75" w:rsidP="00724E75">
      <w:pPr>
        <w:numPr>
          <w:ilvl w:val="0"/>
          <w:numId w:val="13"/>
        </w:numPr>
        <w:rPr>
          <w:rFonts w:ascii="Arial" w:hAnsi="Arial" w:cs="Arial"/>
        </w:rPr>
      </w:pPr>
      <w:r w:rsidRPr="005F4E7E">
        <w:rPr>
          <w:rFonts w:ascii="Arial" w:hAnsi="Arial" w:cs="Arial"/>
        </w:rPr>
        <w:t>Der Auffangbeutel ist rechtzeitig zu entleeren, bevor der Harn mit der Rückflusssperre in Kontakt kommt. Dazu sind Einmalhandschuhe zu tragen.</w:t>
      </w:r>
    </w:p>
    <w:p w:rsidR="00724E75" w:rsidRPr="005F4E7E" w:rsidRDefault="00724E75" w:rsidP="00724E75">
      <w:pPr>
        <w:numPr>
          <w:ilvl w:val="0"/>
          <w:numId w:val="13"/>
        </w:numPr>
        <w:rPr>
          <w:rFonts w:ascii="Arial" w:hAnsi="Arial" w:cs="Arial"/>
        </w:rPr>
      </w:pPr>
      <w:r w:rsidRPr="005F4E7E">
        <w:rPr>
          <w:rFonts w:ascii="Arial" w:hAnsi="Arial" w:cs="Arial"/>
        </w:rPr>
        <w:t>Das Auffanggefäß wird nach Gebrauch desinfizierend gereinigt (z. B. im Steckbeckenspülautomaten).</w:t>
      </w:r>
    </w:p>
    <w:p w:rsidR="00724E75" w:rsidRPr="005F4E7E" w:rsidRDefault="00724E75" w:rsidP="00724E75">
      <w:pPr>
        <w:numPr>
          <w:ilvl w:val="0"/>
          <w:numId w:val="13"/>
        </w:numPr>
        <w:rPr>
          <w:rFonts w:ascii="Arial" w:hAnsi="Arial" w:cs="Arial"/>
        </w:rPr>
      </w:pPr>
      <w:r w:rsidRPr="005F4E7E">
        <w:rPr>
          <w:rFonts w:ascii="Arial" w:hAnsi="Arial" w:cs="Arial"/>
        </w:rPr>
        <w:t>Nach dem Ausziehen der Einmalhandschuhe ist eine Händedesinfektion erforderlich.</w:t>
      </w:r>
    </w:p>
    <w:p w:rsidR="00123E2D" w:rsidRPr="005F4E7E" w:rsidRDefault="00724E75" w:rsidP="00724E75">
      <w:pPr>
        <w:numPr>
          <w:ilvl w:val="0"/>
          <w:numId w:val="13"/>
        </w:numPr>
        <w:rPr>
          <w:rFonts w:ascii="Arial" w:eastAsia="MinionPro-Regular" w:hAnsi="Arial" w:cs="Arial"/>
        </w:rPr>
      </w:pPr>
      <w:r w:rsidRPr="005F4E7E">
        <w:rPr>
          <w:rFonts w:ascii="Arial" w:hAnsi="Arial" w:cs="Arial"/>
        </w:rPr>
        <w:t>Ein Wechsel des geschlossenen Harndrainagesystems</w:t>
      </w:r>
      <w:r w:rsidR="00D34317">
        <w:rPr>
          <w:rFonts w:ascii="Arial" w:hAnsi="Arial" w:cs="Arial"/>
        </w:rPr>
        <w:t xml:space="preserve"> (Katheter und Beutel)</w:t>
      </w:r>
      <w:r w:rsidRPr="005F4E7E">
        <w:rPr>
          <w:rFonts w:ascii="Arial" w:hAnsi="Arial" w:cs="Arial"/>
        </w:rPr>
        <w:t xml:space="preserve"> ist nicht routinemäßig in festen Intervallen erforderlich, sondern soll bei Bedarf nach individuellen Gesichtspunkten (z. B. bei Inkrustation, Obstruktion, Verstopfung, Katheter-induzierter symptomatischer Harnwegsinfektion) erfolgen.</w:t>
      </w:r>
    </w:p>
    <w:p w:rsidR="001D401C" w:rsidRPr="005F4E7E" w:rsidRDefault="00DC3C59" w:rsidP="001D401C">
      <w:pPr>
        <w:pStyle w:val="berschrift3"/>
        <w:rPr>
          <w:sz w:val="24"/>
          <w:szCs w:val="24"/>
        </w:rPr>
      </w:pPr>
      <w:r w:rsidRPr="005F4E7E">
        <w:rPr>
          <w:sz w:val="24"/>
          <w:szCs w:val="24"/>
        </w:rPr>
        <w:br w:type="page"/>
      </w:r>
      <w:r w:rsidR="001D401C" w:rsidRPr="005F4E7E">
        <w:rPr>
          <w:sz w:val="24"/>
          <w:szCs w:val="24"/>
        </w:rPr>
        <w:lastRenderedPageBreak/>
        <w:t>Quellen:</w:t>
      </w:r>
    </w:p>
    <w:p w:rsidR="001D401C" w:rsidRPr="005F4E7E" w:rsidRDefault="001D401C">
      <w:pPr>
        <w:rPr>
          <w:rFonts w:ascii="Arial" w:hAnsi="Arial" w:cs="Arial"/>
        </w:rPr>
      </w:pPr>
      <w:r w:rsidRPr="005F4E7E">
        <w:rPr>
          <w:rFonts w:ascii="Arial" w:hAnsi="Arial" w:cs="Arial"/>
        </w:rPr>
        <w:t>Kommission für Krankenhaushygiene und Infektionsprävention am Robert-Koch-Institut:</w:t>
      </w:r>
    </w:p>
    <w:p w:rsidR="000710A7" w:rsidRPr="005F4E7E" w:rsidRDefault="001D401C" w:rsidP="000710A7">
      <w:pPr>
        <w:numPr>
          <w:ilvl w:val="0"/>
          <w:numId w:val="4"/>
        </w:numPr>
        <w:rPr>
          <w:rFonts w:ascii="Arial" w:hAnsi="Arial" w:cs="Arial"/>
        </w:rPr>
      </w:pPr>
      <w:r w:rsidRPr="005F4E7E">
        <w:rPr>
          <w:rFonts w:ascii="Arial" w:hAnsi="Arial" w:cs="Arial"/>
        </w:rPr>
        <w:t>„</w:t>
      </w:r>
      <w:r w:rsidR="000710A7" w:rsidRPr="005F4E7E">
        <w:rPr>
          <w:rFonts w:ascii="Arial" w:hAnsi="Arial" w:cs="Arial"/>
        </w:rPr>
        <w:t>Empfehlungen zur Prävention und Kontrolle Katheter-assoziierter Harnwegsinfektionen“ / 1999</w:t>
      </w:r>
    </w:p>
    <w:p w:rsidR="001D401C" w:rsidRPr="005F4E7E" w:rsidRDefault="000710A7" w:rsidP="001D401C">
      <w:pPr>
        <w:numPr>
          <w:ilvl w:val="0"/>
          <w:numId w:val="4"/>
        </w:numPr>
        <w:rPr>
          <w:rFonts w:ascii="Arial" w:hAnsi="Arial" w:cs="Arial"/>
        </w:rPr>
      </w:pPr>
      <w:r w:rsidRPr="005F4E7E">
        <w:rPr>
          <w:rFonts w:ascii="Arial" w:hAnsi="Arial" w:cs="Arial"/>
        </w:rPr>
        <w:t xml:space="preserve"> </w:t>
      </w:r>
      <w:r w:rsidR="001D401C" w:rsidRPr="005F4E7E">
        <w:rPr>
          <w:rFonts w:ascii="Arial" w:hAnsi="Arial" w:cs="Arial"/>
        </w:rPr>
        <w:t>„Infektionsprävention in Heimen“ / 2005</w:t>
      </w:r>
    </w:p>
    <w:p w:rsidR="001D401C" w:rsidRPr="005F4E7E" w:rsidRDefault="001D401C" w:rsidP="001D401C">
      <w:pPr>
        <w:rPr>
          <w:rFonts w:ascii="Arial" w:hAnsi="Arial" w:cs="Arial"/>
        </w:rPr>
      </w:pPr>
    </w:p>
    <w:p w:rsidR="000710A7" w:rsidRPr="005F4E7E" w:rsidRDefault="000710A7" w:rsidP="000710A7">
      <w:pPr>
        <w:rPr>
          <w:rFonts w:ascii="Arial" w:hAnsi="Arial" w:cs="Arial"/>
        </w:rPr>
      </w:pPr>
      <w:r w:rsidRPr="005F4E7E">
        <w:rPr>
          <w:rFonts w:ascii="Arial" w:hAnsi="Arial" w:cs="Arial"/>
        </w:rPr>
        <w:t>Arbeitskreis „Krankenhaus- und Praxishygiene“ beim AWMF:</w:t>
      </w:r>
    </w:p>
    <w:p w:rsidR="000710A7" w:rsidRPr="005F4E7E" w:rsidRDefault="000710A7" w:rsidP="000710A7">
      <w:pPr>
        <w:numPr>
          <w:ilvl w:val="0"/>
          <w:numId w:val="16"/>
        </w:numPr>
        <w:rPr>
          <w:rFonts w:ascii="Arial" w:hAnsi="Arial" w:cs="Arial"/>
        </w:rPr>
      </w:pPr>
      <w:r w:rsidRPr="005F4E7E">
        <w:rPr>
          <w:rFonts w:ascii="Arial" w:hAnsi="Arial" w:cs="Arial"/>
        </w:rPr>
        <w:t>Leitlinie „Die Harndrainage“ / 2008</w:t>
      </w:r>
    </w:p>
    <w:p w:rsidR="000710A7" w:rsidRPr="005F4E7E" w:rsidRDefault="000710A7" w:rsidP="000710A7">
      <w:pPr>
        <w:rPr>
          <w:rFonts w:ascii="Arial" w:hAnsi="Arial" w:cs="Arial"/>
        </w:rPr>
      </w:pPr>
    </w:p>
    <w:p w:rsidR="000710A7" w:rsidRPr="005F4E7E" w:rsidRDefault="000710A7" w:rsidP="000710A7">
      <w:pPr>
        <w:rPr>
          <w:rFonts w:ascii="Arial" w:hAnsi="Arial" w:cs="Arial"/>
        </w:rPr>
      </w:pPr>
      <w:r w:rsidRPr="005F4E7E">
        <w:rPr>
          <w:rFonts w:ascii="Arial" w:hAnsi="Arial" w:cs="Arial"/>
        </w:rPr>
        <w:t xml:space="preserve">H. Piechota1, P. Brühl, L. Hertle, J. Sökeland: </w:t>
      </w:r>
    </w:p>
    <w:p w:rsidR="000710A7" w:rsidRPr="005F4E7E" w:rsidRDefault="000710A7" w:rsidP="000710A7">
      <w:pPr>
        <w:rPr>
          <w:rFonts w:ascii="Arial" w:hAnsi="Arial" w:cs="Arial"/>
        </w:rPr>
      </w:pPr>
      <w:r w:rsidRPr="005F4E7E">
        <w:rPr>
          <w:rFonts w:ascii="Arial" w:hAnsi="Arial" w:cs="Arial"/>
        </w:rPr>
        <w:t>„Katheterdrainage der Harnblase heute“ in Deutsches Ärzteblatt Heft 4 / 2000</w:t>
      </w:r>
    </w:p>
    <w:p w:rsidR="000710A7" w:rsidRPr="005F4E7E" w:rsidRDefault="000710A7" w:rsidP="001D401C">
      <w:pPr>
        <w:rPr>
          <w:rFonts w:ascii="Arial" w:hAnsi="Arial" w:cs="Arial"/>
        </w:rPr>
      </w:pPr>
    </w:p>
    <w:p w:rsidR="00AA299C" w:rsidRPr="005F4E7E" w:rsidRDefault="00AA299C" w:rsidP="001D401C">
      <w:pPr>
        <w:rPr>
          <w:rFonts w:ascii="Arial" w:hAnsi="Arial" w:cs="Arial"/>
        </w:rPr>
      </w:pPr>
      <w:r w:rsidRPr="005F4E7E">
        <w:rPr>
          <w:rFonts w:ascii="Arial" w:hAnsi="Arial" w:cs="Arial"/>
        </w:rPr>
        <w:t>Niedersächsisches Landesgesundheitsamt:</w:t>
      </w:r>
    </w:p>
    <w:p w:rsidR="00AA299C" w:rsidRPr="005F4E7E" w:rsidRDefault="00AA299C" w:rsidP="00AA299C">
      <w:pPr>
        <w:numPr>
          <w:ilvl w:val="0"/>
          <w:numId w:val="1"/>
        </w:numPr>
        <w:rPr>
          <w:rFonts w:ascii="Arial" w:hAnsi="Arial" w:cs="Arial"/>
        </w:rPr>
      </w:pPr>
      <w:r w:rsidRPr="005F4E7E">
        <w:rPr>
          <w:rFonts w:ascii="Arial" w:hAnsi="Arial" w:cs="Arial"/>
        </w:rPr>
        <w:t>„</w:t>
      </w:r>
      <w:r w:rsidR="000710A7" w:rsidRPr="005F4E7E">
        <w:rPr>
          <w:rFonts w:ascii="Arial" w:hAnsi="Arial" w:cs="Arial"/>
        </w:rPr>
        <w:t>NLGA- Hygienepaket für Hygienebeauftragte in Altenpflegeeinrichtungen</w:t>
      </w:r>
      <w:r w:rsidRPr="005F4E7E">
        <w:rPr>
          <w:rFonts w:ascii="Arial" w:hAnsi="Arial" w:cs="Arial"/>
        </w:rPr>
        <w:t>“ / 2010</w:t>
      </w:r>
    </w:p>
    <w:sectPr w:rsidR="00AA299C" w:rsidRPr="005F4E7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2A" w:rsidRDefault="004E1A2A">
      <w:r>
        <w:separator/>
      </w:r>
    </w:p>
  </w:endnote>
  <w:endnote w:type="continuationSeparator" w:id="0">
    <w:p w:rsidR="004E1A2A" w:rsidRDefault="004E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65" w:rsidRDefault="00E50D65" w:rsidP="00CB4D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50D65" w:rsidRDefault="00E50D65" w:rsidP="005F4E7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65" w:rsidRDefault="00E50D65" w:rsidP="00CB4D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50433">
      <w:rPr>
        <w:rStyle w:val="Seitenzahl"/>
        <w:noProof/>
      </w:rPr>
      <w:t>1</w:t>
    </w:r>
    <w:r>
      <w:rPr>
        <w:rStyle w:val="Seitenzahl"/>
      </w:rPr>
      <w:fldChar w:fldCharType="end"/>
    </w:r>
  </w:p>
  <w:p w:rsidR="00E50D65" w:rsidRDefault="00E50D65" w:rsidP="005F4E7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2A" w:rsidRDefault="004E1A2A">
      <w:r>
        <w:separator/>
      </w:r>
    </w:p>
  </w:footnote>
  <w:footnote w:type="continuationSeparator" w:id="0">
    <w:p w:rsidR="004E1A2A" w:rsidRDefault="004E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25" w:rsidRPr="00FC2725" w:rsidRDefault="00271DF0" w:rsidP="00FC2725">
    <w:pPr>
      <w:pStyle w:val="Kopfzeile"/>
      <w:pBdr>
        <w:between w:val="single" w:sz="4" w:space="1" w:color="4F81BD"/>
      </w:pBdr>
      <w:spacing w:line="276" w:lineRule="auto"/>
      <w:jc w:val="center"/>
      <w:rPr>
        <w:rFonts w:ascii="Arial" w:hAnsi="Arial" w:cs="Arial"/>
        <w:bCs/>
        <w:kern w:val="32"/>
        <w:sz w:val="20"/>
        <w:szCs w:val="20"/>
      </w:rPr>
    </w:pPr>
    <w:r>
      <w:rPr>
        <w:noProof/>
        <w:lang w:val="de-DE" w:eastAsia="de-DE"/>
      </w:rPr>
      <w:drawing>
        <wp:anchor distT="0" distB="0" distL="114300" distR="114300" simplePos="0" relativeHeight="251657728" behindDoc="1" locked="0" layoutInCell="1" allowOverlap="1">
          <wp:simplePos x="0" y="0"/>
          <wp:positionH relativeFrom="column">
            <wp:posOffset>5253355</wp:posOffset>
          </wp:positionH>
          <wp:positionV relativeFrom="paragraph">
            <wp:posOffset>-278765</wp:posOffset>
          </wp:positionV>
          <wp:extent cx="1220470" cy="712470"/>
          <wp:effectExtent l="0" t="0" r="0" b="0"/>
          <wp:wrapTight wrapText="bothSides">
            <wp:wrapPolygon edited="0">
              <wp:start x="0" y="0"/>
              <wp:lineTo x="0" y="20791"/>
              <wp:lineTo x="21240" y="20791"/>
              <wp:lineTo x="21240" y="0"/>
              <wp:lineTo x="0" y="0"/>
            </wp:wrapPolygon>
          </wp:wrapTight>
          <wp:docPr id="1" name="Bild 1" descr="Logo_rhein_ah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hein_ah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725" w:rsidRPr="00FC2725">
      <w:rPr>
        <w:rFonts w:ascii="Arial" w:hAnsi="Arial" w:cs="Arial"/>
        <w:bCs/>
        <w:kern w:val="32"/>
        <w:sz w:val="20"/>
        <w:szCs w:val="20"/>
      </w:rPr>
      <w:t>Vorgaben und Hilfen zur Verfahrensanweisung „Prävention von Harnwegsinfektionen“</w:t>
    </w:r>
    <w:r w:rsidR="00FC2725">
      <w:rPr>
        <w:rFonts w:ascii="Arial" w:hAnsi="Arial" w:cs="Arial"/>
        <w:bCs/>
        <w:kern w:val="32"/>
        <w:sz w:val="20"/>
        <w:szCs w:val="20"/>
      </w:rPr>
      <w:br/>
    </w:r>
    <w:r w:rsidR="00FC2725" w:rsidRPr="00FC2725">
      <w:rPr>
        <w:rFonts w:ascii="Arial" w:hAnsi="Arial" w:cs="Arial"/>
        <w:bCs/>
        <w:kern w:val="32"/>
        <w:sz w:val="20"/>
        <w:szCs w:val="20"/>
      </w:rPr>
      <w:t xml:space="preserve"> </w:t>
    </w:r>
    <w:r w:rsidR="007443A9">
      <w:rPr>
        <w:rFonts w:ascii="Arial" w:hAnsi="Arial" w:cs="Arial"/>
        <w:bCs/>
        <w:kern w:val="32"/>
        <w:sz w:val="20"/>
        <w:szCs w:val="20"/>
      </w:rPr>
      <w:t xml:space="preserve">Stand </w:t>
    </w:r>
    <w:r w:rsidR="00FC2725" w:rsidRPr="00FC2725">
      <w:rPr>
        <w:rFonts w:ascii="Arial" w:hAnsi="Arial" w:cs="Arial"/>
        <w:bCs/>
        <w:kern w:val="32"/>
        <w:sz w:val="20"/>
        <w:szCs w:val="20"/>
      </w:rPr>
      <w:t>24</w:t>
    </w:r>
    <w:r w:rsidR="00FC2725">
      <w:rPr>
        <w:rFonts w:ascii="Arial" w:hAnsi="Arial" w:cs="Arial"/>
        <w:bCs/>
        <w:kern w:val="32"/>
        <w:sz w:val="20"/>
        <w:szCs w:val="20"/>
      </w:rPr>
      <w:t>.</w:t>
    </w:r>
    <w:r w:rsidR="00FC2725" w:rsidRPr="00FC2725">
      <w:rPr>
        <w:rFonts w:ascii="Arial" w:hAnsi="Arial" w:cs="Arial"/>
        <w:bCs/>
        <w:kern w:val="32"/>
        <w:sz w:val="20"/>
        <w:szCs w:val="20"/>
      </w:rPr>
      <w:t xml:space="preserve"> Februar 2014</w:t>
    </w:r>
  </w:p>
  <w:p w:rsidR="00FC2725" w:rsidRDefault="00FC27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66"/>
    <w:multiLevelType w:val="hybridMultilevel"/>
    <w:tmpl w:val="55306ED2"/>
    <w:lvl w:ilvl="0" w:tplc="0CCAF530">
      <w:start w:val="1"/>
      <w:numFmt w:val="bullet"/>
      <w:lvlText w:val=""/>
      <w:lvlJc w:val="left"/>
      <w:pPr>
        <w:tabs>
          <w:tab w:val="num" w:pos="720"/>
        </w:tabs>
        <w:ind w:left="720" w:hanging="360"/>
      </w:pPr>
      <w:rPr>
        <w:rFonts w:ascii="Wingdings" w:hAnsi="Wingdings" w:hint="default"/>
      </w:rPr>
    </w:lvl>
    <w:lvl w:ilvl="1" w:tplc="E2D4A528">
      <w:start w:val="163"/>
      <w:numFmt w:val="bullet"/>
      <w:lvlText w:val=""/>
      <w:lvlJc w:val="left"/>
      <w:pPr>
        <w:tabs>
          <w:tab w:val="num" w:pos="1440"/>
        </w:tabs>
        <w:ind w:left="1440" w:hanging="360"/>
      </w:pPr>
      <w:rPr>
        <w:rFonts w:ascii="Wingdings" w:hAnsi="Wingdings" w:hint="default"/>
      </w:rPr>
    </w:lvl>
    <w:lvl w:ilvl="2" w:tplc="84FA0416" w:tentative="1">
      <w:start w:val="1"/>
      <w:numFmt w:val="bullet"/>
      <w:lvlText w:val=""/>
      <w:lvlJc w:val="left"/>
      <w:pPr>
        <w:tabs>
          <w:tab w:val="num" w:pos="2160"/>
        </w:tabs>
        <w:ind w:left="2160" w:hanging="360"/>
      </w:pPr>
      <w:rPr>
        <w:rFonts w:ascii="Wingdings" w:hAnsi="Wingdings" w:hint="default"/>
      </w:rPr>
    </w:lvl>
    <w:lvl w:ilvl="3" w:tplc="362C7E54" w:tentative="1">
      <w:start w:val="1"/>
      <w:numFmt w:val="bullet"/>
      <w:lvlText w:val=""/>
      <w:lvlJc w:val="left"/>
      <w:pPr>
        <w:tabs>
          <w:tab w:val="num" w:pos="2880"/>
        </w:tabs>
        <w:ind w:left="2880" w:hanging="360"/>
      </w:pPr>
      <w:rPr>
        <w:rFonts w:ascii="Wingdings" w:hAnsi="Wingdings" w:hint="default"/>
      </w:rPr>
    </w:lvl>
    <w:lvl w:ilvl="4" w:tplc="D2F8F19C" w:tentative="1">
      <w:start w:val="1"/>
      <w:numFmt w:val="bullet"/>
      <w:lvlText w:val=""/>
      <w:lvlJc w:val="left"/>
      <w:pPr>
        <w:tabs>
          <w:tab w:val="num" w:pos="3600"/>
        </w:tabs>
        <w:ind w:left="3600" w:hanging="360"/>
      </w:pPr>
      <w:rPr>
        <w:rFonts w:ascii="Wingdings" w:hAnsi="Wingdings" w:hint="default"/>
      </w:rPr>
    </w:lvl>
    <w:lvl w:ilvl="5" w:tplc="9F1ED908" w:tentative="1">
      <w:start w:val="1"/>
      <w:numFmt w:val="bullet"/>
      <w:lvlText w:val=""/>
      <w:lvlJc w:val="left"/>
      <w:pPr>
        <w:tabs>
          <w:tab w:val="num" w:pos="4320"/>
        </w:tabs>
        <w:ind w:left="4320" w:hanging="360"/>
      </w:pPr>
      <w:rPr>
        <w:rFonts w:ascii="Wingdings" w:hAnsi="Wingdings" w:hint="default"/>
      </w:rPr>
    </w:lvl>
    <w:lvl w:ilvl="6" w:tplc="C766232C" w:tentative="1">
      <w:start w:val="1"/>
      <w:numFmt w:val="bullet"/>
      <w:lvlText w:val=""/>
      <w:lvlJc w:val="left"/>
      <w:pPr>
        <w:tabs>
          <w:tab w:val="num" w:pos="5040"/>
        </w:tabs>
        <w:ind w:left="5040" w:hanging="360"/>
      </w:pPr>
      <w:rPr>
        <w:rFonts w:ascii="Wingdings" w:hAnsi="Wingdings" w:hint="default"/>
      </w:rPr>
    </w:lvl>
    <w:lvl w:ilvl="7" w:tplc="A26A3C70" w:tentative="1">
      <w:start w:val="1"/>
      <w:numFmt w:val="bullet"/>
      <w:lvlText w:val=""/>
      <w:lvlJc w:val="left"/>
      <w:pPr>
        <w:tabs>
          <w:tab w:val="num" w:pos="5760"/>
        </w:tabs>
        <w:ind w:left="5760" w:hanging="360"/>
      </w:pPr>
      <w:rPr>
        <w:rFonts w:ascii="Wingdings" w:hAnsi="Wingdings" w:hint="default"/>
      </w:rPr>
    </w:lvl>
    <w:lvl w:ilvl="8" w:tplc="262001C8" w:tentative="1">
      <w:start w:val="1"/>
      <w:numFmt w:val="bullet"/>
      <w:lvlText w:val=""/>
      <w:lvlJc w:val="left"/>
      <w:pPr>
        <w:tabs>
          <w:tab w:val="num" w:pos="6480"/>
        </w:tabs>
        <w:ind w:left="6480" w:hanging="360"/>
      </w:pPr>
      <w:rPr>
        <w:rFonts w:ascii="Wingdings" w:hAnsi="Wingdings" w:hint="default"/>
      </w:rPr>
    </w:lvl>
  </w:abstractNum>
  <w:abstractNum w:abstractNumId="1">
    <w:nsid w:val="0B9B5FCD"/>
    <w:multiLevelType w:val="hybridMultilevel"/>
    <w:tmpl w:val="194A9A90"/>
    <w:lvl w:ilvl="0" w:tplc="8B500E8A">
      <w:start w:val="1"/>
      <w:numFmt w:val="decimal"/>
      <w:lvlText w:val="%1."/>
      <w:lvlJc w:val="left"/>
      <w:pPr>
        <w:tabs>
          <w:tab w:val="num" w:pos="720"/>
        </w:tabs>
        <w:ind w:left="680" w:hanging="6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1322EE0"/>
    <w:multiLevelType w:val="hybridMultilevel"/>
    <w:tmpl w:val="BC8A831E"/>
    <w:lvl w:ilvl="0" w:tplc="388CD2FE">
      <w:start w:val="1"/>
      <w:numFmt w:val="bullet"/>
      <w:pStyle w:val="Punktabsatz"/>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84204EE">
      <w:start w:val="1"/>
      <w:numFmt w:val="bullet"/>
      <w:lvlText w:val=""/>
      <w:lvlJc w:val="left"/>
      <w:pPr>
        <w:tabs>
          <w:tab w:val="num" w:pos="2160"/>
        </w:tabs>
        <w:ind w:left="2112" w:hanging="312"/>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726F83"/>
    <w:multiLevelType w:val="hybridMultilevel"/>
    <w:tmpl w:val="8B5A7E6A"/>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97C3F"/>
    <w:multiLevelType w:val="hybridMultilevel"/>
    <w:tmpl w:val="B87022C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9367A9"/>
    <w:multiLevelType w:val="hybridMultilevel"/>
    <w:tmpl w:val="FAA40AD6"/>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4C100F5"/>
    <w:multiLevelType w:val="hybridMultilevel"/>
    <w:tmpl w:val="E9620F2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995576"/>
    <w:multiLevelType w:val="hybridMultilevel"/>
    <w:tmpl w:val="9C26CF2E"/>
    <w:lvl w:ilvl="0" w:tplc="C082E0A2">
      <w:start w:val="1"/>
      <w:numFmt w:val="decimal"/>
      <w:lvlText w:val="%1."/>
      <w:lvlJc w:val="left"/>
      <w:pPr>
        <w:tabs>
          <w:tab w:val="num" w:pos="720"/>
        </w:tabs>
        <w:ind w:left="680" w:hanging="680"/>
      </w:pPr>
      <w:rPr>
        <w:rFonts w:ascii="Arial" w:eastAsia="Times New Roman"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455A79"/>
    <w:multiLevelType w:val="hybridMultilevel"/>
    <w:tmpl w:val="49084B72"/>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68E52A9"/>
    <w:multiLevelType w:val="hybridMultilevel"/>
    <w:tmpl w:val="EB32745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273F0E"/>
    <w:multiLevelType w:val="hybridMultilevel"/>
    <w:tmpl w:val="888028D6"/>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7B268C8"/>
    <w:multiLevelType w:val="hybridMultilevel"/>
    <w:tmpl w:val="2278AE7A"/>
    <w:lvl w:ilvl="0" w:tplc="F8D0E85E">
      <w:start w:val="1"/>
      <w:numFmt w:val="bullet"/>
      <w:lvlText w:val=""/>
      <w:lvlJc w:val="left"/>
      <w:pPr>
        <w:tabs>
          <w:tab w:val="num" w:pos="720"/>
        </w:tabs>
        <w:ind w:left="720" w:hanging="360"/>
      </w:pPr>
      <w:rPr>
        <w:rFonts w:ascii="Wingdings" w:hAnsi="Wingdings" w:hint="default"/>
      </w:rPr>
    </w:lvl>
    <w:lvl w:ilvl="1" w:tplc="24D2D620">
      <w:start w:val="163"/>
      <w:numFmt w:val="bullet"/>
      <w:lvlText w:val=""/>
      <w:lvlJc w:val="left"/>
      <w:pPr>
        <w:tabs>
          <w:tab w:val="num" w:pos="1440"/>
        </w:tabs>
        <w:ind w:left="1440" w:hanging="360"/>
      </w:pPr>
      <w:rPr>
        <w:rFonts w:ascii="Wingdings" w:hAnsi="Wingdings" w:hint="default"/>
      </w:rPr>
    </w:lvl>
    <w:lvl w:ilvl="2" w:tplc="2946C86C" w:tentative="1">
      <w:start w:val="1"/>
      <w:numFmt w:val="bullet"/>
      <w:lvlText w:val=""/>
      <w:lvlJc w:val="left"/>
      <w:pPr>
        <w:tabs>
          <w:tab w:val="num" w:pos="2160"/>
        </w:tabs>
        <w:ind w:left="2160" w:hanging="360"/>
      </w:pPr>
      <w:rPr>
        <w:rFonts w:ascii="Wingdings" w:hAnsi="Wingdings" w:hint="default"/>
      </w:rPr>
    </w:lvl>
    <w:lvl w:ilvl="3" w:tplc="6A72270A" w:tentative="1">
      <w:start w:val="1"/>
      <w:numFmt w:val="bullet"/>
      <w:lvlText w:val=""/>
      <w:lvlJc w:val="left"/>
      <w:pPr>
        <w:tabs>
          <w:tab w:val="num" w:pos="2880"/>
        </w:tabs>
        <w:ind w:left="2880" w:hanging="360"/>
      </w:pPr>
      <w:rPr>
        <w:rFonts w:ascii="Wingdings" w:hAnsi="Wingdings" w:hint="default"/>
      </w:rPr>
    </w:lvl>
    <w:lvl w:ilvl="4" w:tplc="1F0201CA" w:tentative="1">
      <w:start w:val="1"/>
      <w:numFmt w:val="bullet"/>
      <w:lvlText w:val=""/>
      <w:lvlJc w:val="left"/>
      <w:pPr>
        <w:tabs>
          <w:tab w:val="num" w:pos="3600"/>
        </w:tabs>
        <w:ind w:left="3600" w:hanging="360"/>
      </w:pPr>
      <w:rPr>
        <w:rFonts w:ascii="Wingdings" w:hAnsi="Wingdings" w:hint="default"/>
      </w:rPr>
    </w:lvl>
    <w:lvl w:ilvl="5" w:tplc="1082C1A6" w:tentative="1">
      <w:start w:val="1"/>
      <w:numFmt w:val="bullet"/>
      <w:lvlText w:val=""/>
      <w:lvlJc w:val="left"/>
      <w:pPr>
        <w:tabs>
          <w:tab w:val="num" w:pos="4320"/>
        </w:tabs>
        <w:ind w:left="4320" w:hanging="360"/>
      </w:pPr>
      <w:rPr>
        <w:rFonts w:ascii="Wingdings" w:hAnsi="Wingdings" w:hint="default"/>
      </w:rPr>
    </w:lvl>
    <w:lvl w:ilvl="6" w:tplc="8DD0D48C" w:tentative="1">
      <w:start w:val="1"/>
      <w:numFmt w:val="bullet"/>
      <w:lvlText w:val=""/>
      <w:lvlJc w:val="left"/>
      <w:pPr>
        <w:tabs>
          <w:tab w:val="num" w:pos="5040"/>
        </w:tabs>
        <w:ind w:left="5040" w:hanging="360"/>
      </w:pPr>
      <w:rPr>
        <w:rFonts w:ascii="Wingdings" w:hAnsi="Wingdings" w:hint="default"/>
      </w:rPr>
    </w:lvl>
    <w:lvl w:ilvl="7" w:tplc="972CFFB4" w:tentative="1">
      <w:start w:val="1"/>
      <w:numFmt w:val="bullet"/>
      <w:lvlText w:val=""/>
      <w:lvlJc w:val="left"/>
      <w:pPr>
        <w:tabs>
          <w:tab w:val="num" w:pos="5760"/>
        </w:tabs>
        <w:ind w:left="5760" w:hanging="360"/>
      </w:pPr>
      <w:rPr>
        <w:rFonts w:ascii="Wingdings" w:hAnsi="Wingdings" w:hint="default"/>
      </w:rPr>
    </w:lvl>
    <w:lvl w:ilvl="8" w:tplc="665651B0" w:tentative="1">
      <w:start w:val="1"/>
      <w:numFmt w:val="bullet"/>
      <w:lvlText w:val=""/>
      <w:lvlJc w:val="left"/>
      <w:pPr>
        <w:tabs>
          <w:tab w:val="num" w:pos="6480"/>
        </w:tabs>
        <w:ind w:left="6480" w:hanging="360"/>
      </w:pPr>
      <w:rPr>
        <w:rFonts w:ascii="Wingdings" w:hAnsi="Wingdings" w:hint="default"/>
      </w:rPr>
    </w:lvl>
  </w:abstractNum>
  <w:abstractNum w:abstractNumId="12">
    <w:nsid w:val="67E34CCB"/>
    <w:multiLevelType w:val="hybridMultilevel"/>
    <w:tmpl w:val="8DD23610"/>
    <w:lvl w:ilvl="0" w:tplc="69F431EA">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E910DE8"/>
    <w:multiLevelType w:val="hybridMultilevel"/>
    <w:tmpl w:val="42AE919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88314B9"/>
    <w:multiLevelType w:val="hybridMultilevel"/>
    <w:tmpl w:val="27A2D4D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B9567C7"/>
    <w:multiLevelType w:val="hybridMultilevel"/>
    <w:tmpl w:val="369661A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C7D2CCC"/>
    <w:multiLevelType w:val="hybridMultilevel"/>
    <w:tmpl w:val="901E410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5"/>
  </w:num>
  <w:num w:numId="4">
    <w:abstractNumId w:val="16"/>
  </w:num>
  <w:num w:numId="5">
    <w:abstractNumId w:val="14"/>
  </w:num>
  <w:num w:numId="6">
    <w:abstractNumId w:val="15"/>
  </w:num>
  <w:num w:numId="7">
    <w:abstractNumId w:val="7"/>
  </w:num>
  <w:num w:numId="8">
    <w:abstractNumId w:val="9"/>
  </w:num>
  <w:num w:numId="9">
    <w:abstractNumId w:val="10"/>
  </w:num>
  <w:num w:numId="10">
    <w:abstractNumId w:val="2"/>
  </w:num>
  <w:num w:numId="11">
    <w:abstractNumId w:val="8"/>
  </w:num>
  <w:num w:numId="12">
    <w:abstractNumId w:val="13"/>
  </w:num>
  <w:num w:numId="13">
    <w:abstractNumId w:val="4"/>
  </w:num>
  <w:num w:numId="14">
    <w:abstractNumId w:val="6"/>
  </w:num>
  <w:num w:numId="15">
    <w:abstractNumId w:val="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4A"/>
    <w:rsid w:val="000400FC"/>
    <w:rsid w:val="000710A7"/>
    <w:rsid w:val="00083156"/>
    <w:rsid w:val="000D63DD"/>
    <w:rsid w:val="00121D39"/>
    <w:rsid w:val="00122F49"/>
    <w:rsid w:val="00123E2D"/>
    <w:rsid w:val="00132D6D"/>
    <w:rsid w:val="00150433"/>
    <w:rsid w:val="001727A4"/>
    <w:rsid w:val="001D0EC6"/>
    <w:rsid w:val="001D401C"/>
    <w:rsid w:val="001F5681"/>
    <w:rsid w:val="00271DF0"/>
    <w:rsid w:val="00294781"/>
    <w:rsid w:val="00296DCD"/>
    <w:rsid w:val="002C2196"/>
    <w:rsid w:val="002D7B87"/>
    <w:rsid w:val="00315885"/>
    <w:rsid w:val="00320602"/>
    <w:rsid w:val="003365B4"/>
    <w:rsid w:val="00343908"/>
    <w:rsid w:val="00347367"/>
    <w:rsid w:val="003555A9"/>
    <w:rsid w:val="00373BF8"/>
    <w:rsid w:val="00383B78"/>
    <w:rsid w:val="00385C72"/>
    <w:rsid w:val="0043266F"/>
    <w:rsid w:val="004A2A55"/>
    <w:rsid w:val="004B1A3B"/>
    <w:rsid w:val="004B669C"/>
    <w:rsid w:val="004D71BC"/>
    <w:rsid w:val="004E1A2A"/>
    <w:rsid w:val="00511CF2"/>
    <w:rsid w:val="00511DAD"/>
    <w:rsid w:val="00522153"/>
    <w:rsid w:val="0057170A"/>
    <w:rsid w:val="005D6C19"/>
    <w:rsid w:val="005F4E7E"/>
    <w:rsid w:val="00615183"/>
    <w:rsid w:val="0061719D"/>
    <w:rsid w:val="00644ACE"/>
    <w:rsid w:val="00681052"/>
    <w:rsid w:val="006810AC"/>
    <w:rsid w:val="00693667"/>
    <w:rsid w:val="00697401"/>
    <w:rsid w:val="00697E7B"/>
    <w:rsid w:val="006B6720"/>
    <w:rsid w:val="007217A4"/>
    <w:rsid w:val="00724E75"/>
    <w:rsid w:val="007443A9"/>
    <w:rsid w:val="00796836"/>
    <w:rsid w:val="007F3A28"/>
    <w:rsid w:val="00821356"/>
    <w:rsid w:val="008F5C88"/>
    <w:rsid w:val="009059D1"/>
    <w:rsid w:val="00965920"/>
    <w:rsid w:val="00967C4A"/>
    <w:rsid w:val="00985AC2"/>
    <w:rsid w:val="009C504B"/>
    <w:rsid w:val="009D265B"/>
    <w:rsid w:val="009E6893"/>
    <w:rsid w:val="00A35DA8"/>
    <w:rsid w:val="00AA299C"/>
    <w:rsid w:val="00AA480B"/>
    <w:rsid w:val="00B13F89"/>
    <w:rsid w:val="00B50637"/>
    <w:rsid w:val="00B810E0"/>
    <w:rsid w:val="00BF0659"/>
    <w:rsid w:val="00C24680"/>
    <w:rsid w:val="00C55993"/>
    <w:rsid w:val="00C93F90"/>
    <w:rsid w:val="00CB4D36"/>
    <w:rsid w:val="00CE4E46"/>
    <w:rsid w:val="00D173E0"/>
    <w:rsid w:val="00D34317"/>
    <w:rsid w:val="00D5590A"/>
    <w:rsid w:val="00DC3C59"/>
    <w:rsid w:val="00E50D65"/>
    <w:rsid w:val="00F03460"/>
    <w:rsid w:val="00F37CE4"/>
    <w:rsid w:val="00F46A07"/>
    <w:rsid w:val="00F52060"/>
    <w:rsid w:val="00FB7B27"/>
    <w:rsid w:val="00FC2725"/>
    <w:rsid w:val="00FC7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4A"/>
    <w:rPr>
      <w:sz w:val="24"/>
      <w:szCs w:val="24"/>
    </w:rPr>
  </w:style>
  <w:style w:type="paragraph" w:styleId="berschrift1">
    <w:name w:val="heading 1"/>
    <w:basedOn w:val="Standard"/>
    <w:next w:val="Standard"/>
    <w:qFormat/>
    <w:rsid w:val="00967C4A"/>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22F4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401C"/>
    <w:pPr>
      <w:autoSpaceDE w:val="0"/>
      <w:autoSpaceDN w:val="0"/>
      <w:adjustRightInd w:val="0"/>
    </w:pPr>
    <w:rPr>
      <w:rFonts w:ascii="Arial" w:hAnsi="Arial" w:cs="Arial"/>
      <w:color w:val="000000"/>
      <w:sz w:val="24"/>
      <w:szCs w:val="24"/>
    </w:rPr>
  </w:style>
  <w:style w:type="paragraph" w:customStyle="1" w:styleId="Punktabsatz">
    <w:name w:val="Punktabsatz"/>
    <w:basedOn w:val="Standard"/>
    <w:rsid w:val="001F5681"/>
    <w:pPr>
      <w:numPr>
        <w:numId w:val="10"/>
      </w:numPr>
      <w:spacing w:after="60"/>
      <w:jc w:val="both"/>
    </w:pPr>
    <w:rPr>
      <w:rFonts w:ascii="Arial" w:hAnsi="Arial"/>
      <w:sz w:val="20"/>
    </w:rPr>
  </w:style>
  <w:style w:type="paragraph" w:styleId="Sprechblasentext">
    <w:name w:val="Balloon Text"/>
    <w:basedOn w:val="Standard"/>
    <w:semiHidden/>
    <w:rsid w:val="00A35DA8"/>
    <w:rPr>
      <w:rFonts w:ascii="Tahoma" w:hAnsi="Tahoma" w:cs="Tahoma"/>
      <w:sz w:val="16"/>
      <w:szCs w:val="16"/>
    </w:rPr>
  </w:style>
  <w:style w:type="paragraph" w:styleId="Dokumentstruktur">
    <w:name w:val="Document Map"/>
    <w:basedOn w:val="Standard"/>
    <w:semiHidden/>
    <w:rsid w:val="003365B4"/>
    <w:pPr>
      <w:shd w:val="clear" w:color="auto" w:fill="000080"/>
    </w:pPr>
    <w:rPr>
      <w:rFonts w:ascii="Tahoma" w:hAnsi="Tahoma" w:cs="Tahoma"/>
      <w:sz w:val="20"/>
      <w:szCs w:val="20"/>
    </w:rPr>
  </w:style>
  <w:style w:type="paragraph" w:styleId="Fuzeile">
    <w:name w:val="footer"/>
    <w:basedOn w:val="Standard"/>
    <w:rsid w:val="005F4E7E"/>
    <w:pPr>
      <w:tabs>
        <w:tab w:val="center" w:pos="4536"/>
        <w:tab w:val="right" w:pos="9072"/>
      </w:tabs>
    </w:pPr>
  </w:style>
  <w:style w:type="character" w:styleId="Seitenzahl">
    <w:name w:val="page number"/>
    <w:basedOn w:val="Absatz-Standardschriftart"/>
    <w:rsid w:val="005F4E7E"/>
  </w:style>
  <w:style w:type="paragraph" w:styleId="Kopfzeile">
    <w:name w:val="header"/>
    <w:basedOn w:val="Standard"/>
    <w:link w:val="KopfzeileZchn"/>
    <w:uiPriority w:val="99"/>
    <w:rsid w:val="00FC2725"/>
    <w:pPr>
      <w:tabs>
        <w:tab w:val="center" w:pos="4536"/>
        <w:tab w:val="right" w:pos="9072"/>
      </w:tabs>
    </w:pPr>
    <w:rPr>
      <w:lang w:val="x-none" w:eastAsia="x-none"/>
    </w:rPr>
  </w:style>
  <w:style w:type="character" w:customStyle="1" w:styleId="KopfzeileZchn">
    <w:name w:val="Kopfzeile Zchn"/>
    <w:link w:val="Kopfzeile"/>
    <w:uiPriority w:val="99"/>
    <w:rsid w:val="00FC2725"/>
    <w:rPr>
      <w:sz w:val="24"/>
      <w:szCs w:val="24"/>
    </w:rPr>
  </w:style>
  <w:style w:type="character" w:styleId="Kommentarzeichen">
    <w:name w:val="annotation reference"/>
    <w:rsid w:val="004B1A3B"/>
    <w:rPr>
      <w:sz w:val="16"/>
      <w:szCs w:val="16"/>
    </w:rPr>
  </w:style>
  <w:style w:type="paragraph" w:styleId="Kommentartext">
    <w:name w:val="annotation text"/>
    <w:basedOn w:val="Standard"/>
    <w:link w:val="KommentartextZchn"/>
    <w:rsid w:val="004B1A3B"/>
    <w:rPr>
      <w:sz w:val="20"/>
      <w:szCs w:val="20"/>
    </w:rPr>
  </w:style>
  <w:style w:type="character" w:customStyle="1" w:styleId="KommentartextZchn">
    <w:name w:val="Kommentartext Zchn"/>
    <w:basedOn w:val="Absatz-Standardschriftart"/>
    <w:link w:val="Kommentartext"/>
    <w:rsid w:val="004B1A3B"/>
  </w:style>
  <w:style w:type="paragraph" w:styleId="Kommentarthema">
    <w:name w:val="annotation subject"/>
    <w:basedOn w:val="Kommentartext"/>
    <w:next w:val="Kommentartext"/>
    <w:link w:val="KommentarthemaZchn"/>
    <w:rsid w:val="004B1A3B"/>
    <w:rPr>
      <w:b/>
      <w:bCs/>
    </w:rPr>
  </w:style>
  <w:style w:type="character" w:customStyle="1" w:styleId="KommentarthemaZchn">
    <w:name w:val="Kommentarthema Zchn"/>
    <w:link w:val="Kommentarthema"/>
    <w:rsid w:val="004B1A3B"/>
    <w:rPr>
      <w:b/>
      <w:bCs/>
    </w:rPr>
  </w:style>
  <w:style w:type="paragraph" w:styleId="berarbeitung">
    <w:name w:val="Revision"/>
    <w:hidden/>
    <w:uiPriority w:val="99"/>
    <w:semiHidden/>
    <w:rsid w:val="004B1A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4A"/>
    <w:rPr>
      <w:sz w:val="24"/>
      <w:szCs w:val="24"/>
    </w:rPr>
  </w:style>
  <w:style w:type="paragraph" w:styleId="berschrift1">
    <w:name w:val="heading 1"/>
    <w:basedOn w:val="Standard"/>
    <w:next w:val="Standard"/>
    <w:qFormat/>
    <w:rsid w:val="00967C4A"/>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22F4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401C"/>
    <w:pPr>
      <w:autoSpaceDE w:val="0"/>
      <w:autoSpaceDN w:val="0"/>
      <w:adjustRightInd w:val="0"/>
    </w:pPr>
    <w:rPr>
      <w:rFonts w:ascii="Arial" w:hAnsi="Arial" w:cs="Arial"/>
      <w:color w:val="000000"/>
      <w:sz w:val="24"/>
      <w:szCs w:val="24"/>
    </w:rPr>
  </w:style>
  <w:style w:type="paragraph" w:customStyle="1" w:styleId="Punktabsatz">
    <w:name w:val="Punktabsatz"/>
    <w:basedOn w:val="Standard"/>
    <w:rsid w:val="001F5681"/>
    <w:pPr>
      <w:numPr>
        <w:numId w:val="10"/>
      </w:numPr>
      <w:spacing w:after="60"/>
      <w:jc w:val="both"/>
    </w:pPr>
    <w:rPr>
      <w:rFonts w:ascii="Arial" w:hAnsi="Arial"/>
      <w:sz w:val="20"/>
    </w:rPr>
  </w:style>
  <w:style w:type="paragraph" w:styleId="Sprechblasentext">
    <w:name w:val="Balloon Text"/>
    <w:basedOn w:val="Standard"/>
    <w:semiHidden/>
    <w:rsid w:val="00A35DA8"/>
    <w:rPr>
      <w:rFonts w:ascii="Tahoma" w:hAnsi="Tahoma" w:cs="Tahoma"/>
      <w:sz w:val="16"/>
      <w:szCs w:val="16"/>
    </w:rPr>
  </w:style>
  <w:style w:type="paragraph" w:styleId="Dokumentstruktur">
    <w:name w:val="Document Map"/>
    <w:basedOn w:val="Standard"/>
    <w:semiHidden/>
    <w:rsid w:val="003365B4"/>
    <w:pPr>
      <w:shd w:val="clear" w:color="auto" w:fill="000080"/>
    </w:pPr>
    <w:rPr>
      <w:rFonts w:ascii="Tahoma" w:hAnsi="Tahoma" w:cs="Tahoma"/>
      <w:sz w:val="20"/>
      <w:szCs w:val="20"/>
    </w:rPr>
  </w:style>
  <w:style w:type="paragraph" w:styleId="Fuzeile">
    <w:name w:val="footer"/>
    <w:basedOn w:val="Standard"/>
    <w:rsid w:val="005F4E7E"/>
    <w:pPr>
      <w:tabs>
        <w:tab w:val="center" w:pos="4536"/>
        <w:tab w:val="right" w:pos="9072"/>
      </w:tabs>
    </w:pPr>
  </w:style>
  <w:style w:type="character" w:styleId="Seitenzahl">
    <w:name w:val="page number"/>
    <w:basedOn w:val="Absatz-Standardschriftart"/>
    <w:rsid w:val="005F4E7E"/>
  </w:style>
  <w:style w:type="paragraph" w:styleId="Kopfzeile">
    <w:name w:val="header"/>
    <w:basedOn w:val="Standard"/>
    <w:link w:val="KopfzeileZchn"/>
    <w:uiPriority w:val="99"/>
    <w:rsid w:val="00FC2725"/>
    <w:pPr>
      <w:tabs>
        <w:tab w:val="center" w:pos="4536"/>
        <w:tab w:val="right" w:pos="9072"/>
      </w:tabs>
    </w:pPr>
    <w:rPr>
      <w:lang w:val="x-none" w:eastAsia="x-none"/>
    </w:rPr>
  </w:style>
  <w:style w:type="character" w:customStyle="1" w:styleId="KopfzeileZchn">
    <w:name w:val="Kopfzeile Zchn"/>
    <w:link w:val="Kopfzeile"/>
    <w:uiPriority w:val="99"/>
    <w:rsid w:val="00FC2725"/>
    <w:rPr>
      <w:sz w:val="24"/>
      <w:szCs w:val="24"/>
    </w:rPr>
  </w:style>
  <w:style w:type="character" w:styleId="Kommentarzeichen">
    <w:name w:val="annotation reference"/>
    <w:rsid w:val="004B1A3B"/>
    <w:rPr>
      <w:sz w:val="16"/>
      <w:szCs w:val="16"/>
    </w:rPr>
  </w:style>
  <w:style w:type="paragraph" w:styleId="Kommentartext">
    <w:name w:val="annotation text"/>
    <w:basedOn w:val="Standard"/>
    <w:link w:val="KommentartextZchn"/>
    <w:rsid w:val="004B1A3B"/>
    <w:rPr>
      <w:sz w:val="20"/>
      <w:szCs w:val="20"/>
    </w:rPr>
  </w:style>
  <w:style w:type="character" w:customStyle="1" w:styleId="KommentartextZchn">
    <w:name w:val="Kommentartext Zchn"/>
    <w:basedOn w:val="Absatz-Standardschriftart"/>
    <w:link w:val="Kommentartext"/>
    <w:rsid w:val="004B1A3B"/>
  </w:style>
  <w:style w:type="paragraph" w:styleId="Kommentarthema">
    <w:name w:val="annotation subject"/>
    <w:basedOn w:val="Kommentartext"/>
    <w:next w:val="Kommentartext"/>
    <w:link w:val="KommentarthemaZchn"/>
    <w:rsid w:val="004B1A3B"/>
    <w:rPr>
      <w:b/>
      <w:bCs/>
    </w:rPr>
  </w:style>
  <w:style w:type="character" w:customStyle="1" w:styleId="KommentarthemaZchn">
    <w:name w:val="Kommentarthema Zchn"/>
    <w:link w:val="Kommentarthema"/>
    <w:rsid w:val="004B1A3B"/>
    <w:rPr>
      <w:b/>
      <w:bCs/>
    </w:rPr>
  </w:style>
  <w:style w:type="paragraph" w:styleId="berarbeitung">
    <w:name w:val="Revision"/>
    <w:hidden/>
    <w:uiPriority w:val="99"/>
    <w:semiHidden/>
    <w:rsid w:val="004B1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090">
      <w:bodyDiv w:val="1"/>
      <w:marLeft w:val="0"/>
      <w:marRight w:val="0"/>
      <w:marTop w:val="0"/>
      <w:marBottom w:val="0"/>
      <w:divBdr>
        <w:top w:val="none" w:sz="0" w:space="0" w:color="auto"/>
        <w:left w:val="none" w:sz="0" w:space="0" w:color="auto"/>
        <w:bottom w:val="none" w:sz="0" w:space="0" w:color="auto"/>
        <w:right w:val="none" w:sz="0" w:space="0" w:color="auto"/>
      </w:divBdr>
      <w:divsChild>
        <w:div w:id="782456184">
          <w:marLeft w:val="0"/>
          <w:marRight w:val="0"/>
          <w:marTop w:val="0"/>
          <w:marBottom w:val="0"/>
          <w:divBdr>
            <w:top w:val="none" w:sz="0" w:space="0" w:color="auto"/>
            <w:left w:val="none" w:sz="0" w:space="0" w:color="auto"/>
            <w:bottom w:val="none" w:sz="0" w:space="0" w:color="auto"/>
            <w:right w:val="none" w:sz="0" w:space="0" w:color="auto"/>
          </w:divBdr>
        </w:div>
      </w:divsChild>
    </w:div>
    <w:div w:id="258104559">
      <w:bodyDiv w:val="1"/>
      <w:marLeft w:val="0"/>
      <w:marRight w:val="0"/>
      <w:marTop w:val="0"/>
      <w:marBottom w:val="0"/>
      <w:divBdr>
        <w:top w:val="none" w:sz="0" w:space="0" w:color="auto"/>
        <w:left w:val="none" w:sz="0" w:space="0" w:color="auto"/>
        <w:bottom w:val="none" w:sz="0" w:space="0" w:color="auto"/>
        <w:right w:val="none" w:sz="0" w:space="0" w:color="auto"/>
      </w:divBdr>
      <w:divsChild>
        <w:div w:id="2034839389">
          <w:marLeft w:val="0"/>
          <w:marRight w:val="0"/>
          <w:marTop w:val="0"/>
          <w:marBottom w:val="0"/>
          <w:divBdr>
            <w:top w:val="none" w:sz="0" w:space="0" w:color="auto"/>
            <w:left w:val="none" w:sz="0" w:space="0" w:color="auto"/>
            <w:bottom w:val="none" w:sz="0" w:space="0" w:color="auto"/>
            <w:right w:val="none" w:sz="0" w:space="0" w:color="auto"/>
          </w:divBdr>
        </w:div>
      </w:divsChild>
    </w:div>
    <w:div w:id="484978343">
      <w:bodyDiv w:val="1"/>
      <w:marLeft w:val="0"/>
      <w:marRight w:val="0"/>
      <w:marTop w:val="0"/>
      <w:marBottom w:val="0"/>
      <w:divBdr>
        <w:top w:val="none" w:sz="0" w:space="0" w:color="auto"/>
        <w:left w:val="none" w:sz="0" w:space="0" w:color="auto"/>
        <w:bottom w:val="none" w:sz="0" w:space="0" w:color="auto"/>
        <w:right w:val="none" w:sz="0" w:space="0" w:color="auto"/>
      </w:divBdr>
      <w:divsChild>
        <w:div w:id="650521747">
          <w:marLeft w:val="0"/>
          <w:marRight w:val="0"/>
          <w:marTop w:val="0"/>
          <w:marBottom w:val="0"/>
          <w:divBdr>
            <w:top w:val="none" w:sz="0" w:space="0" w:color="auto"/>
            <w:left w:val="none" w:sz="0" w:space="0" w:color="auto"/>
            <w:bottom w:val="none" w:sz="0" w:space="0" w:color="auto"/>
            <w:right w:val="none" w:sz="0" w:space="0" w:color="auto"/>
          </w:divBdr>
          <w:divsChild>
            <w:div w:id="299119317">
              <w:marLeft w:val="0"/>
              <w:marRight w:val="0"/>
              <w:marTop w:val="0"/>
              <w:marBottom w:val="0"/>
              <w:divBdr>
                <w:top w:val="none" w:sz="0" w:space="0" w:color="auto"/>
                <w:left w:val="none" w:sz="0" w:space="0" w:color="auto"/>
                <w:bottom w:val="none" w:sz="0" w:space="0" w:color="auto"/>
                <w:right w:val="none" w:sz="0" w:space="0" w:color="auto"/>
              </w:divBdr>
            </w:div>
            <w:div w:id="4961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70536">
      <w:bodyDiv w:val="1"/>
      <w:marLeft w:val="0"/>
      <w:marRight w:val="0"/>
      <w:marTop w:val="0"/>
      <w:marBottom w:val="0"/>
      <w:divBdr>
        <w:top w:val="none" w:sz="0" w:space="0" w:color="auto"/>
        <w:left w:val="none" w:sz="0" w:space="0" w:color="auto"/>
        <w:bottom w:val="none" w:sz="0" w:space="0" w:color="auto"/>
        <w:right w:val="none" w:sz="0" w:space="0" w:color="auto"/>
      </w:divBdr>
      <w:divsChild>
        <w:div w:id="359163117">
          <w:marLeft w:val="0"/>
          <w:marRight w:val="0"/>
          <w:marTop w:val="0"/>
          <w:marBottom w:val="0"/>
          <w:divBdr>
            <w:top w:val="none" w:sz="0" w:space="0" w:color="auto"/>
            <w:left w:val="none" w:sz="0" w:space="0" w:color="auto"/>
            <w:bottom w:val="none" w:sz="0" w:space="0" w:color="auto"/>
            <w:right w:val="none" w:sz="0" w:space="0" w:color="auto"/>
          </w:divBdr>
          <w:divsChild>
            <w:div w:id="1333606550">
              <w:marLeft w:val="0"/>
              <w:marRight w:val="0"/>
              <w:marTop w:val="0"/>
              <w:marBottom w:val="0"/>
              <w:divBdr>
                <w:top w:val="none" w:sz="0" w:space="0" w:color="auto"/>
                <w:left w:val="none" w:sz="0" w:space="0" w:color="auto"/>
                <w:bottom w:val="none" w:sz="0" w:space="0" w:color="auto"/>
                <w:right w:val="none" w:sz="0" w:space="0" w:color="auto"/>
              </w:divBdr>
            </w:div>
            <w:div w:id="16249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9548</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Vorgaben und Hilfen zur Verfahrensanweisung „Prävention von Harnwegsinfektionen“</vt:lpstr>
    </vt:vector>
  </TitlesOfParts>
  <Company>RBK</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Vorgaben und Hilfen zur Verfahrensanweisung „Prävention von Harnwegsinfektionen“</dc:title>
  <dc:creator>peter.bergen</dc:creator>
  <cp:lastModifiedBy>Liane Marciano</cp:lastModifiedBy>
  <cp:revision>2</cp:revision>
  <cp:lastPrinted>2014-03-06T08:27:00Z</cp:lastPrinted>
  <dcterms:created xsi:type="dcterms:W3CDTF">2019-12-04T16:22:00Z</dcterms:created>
  <dcterms:modified xsi:type="dcterms:W3CDTF">2019-12-04T16:22:00Z</dcterms:modified>
</cp:coreProperties>
</file>